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before="5"/>
        <w:rPr>
          <w:rFonts w:ascii="Times New Roman" w:cs="Times New Roman" w:eastAsia="Times New Roman" w:hAnsi="Times New Roman"/>
          <w:sz w:val="13"/>
          <w:szCs w:val="13"/>
        </w:rPr>
      </w:pPr>
    </w:p>
    <w:p>
      <w:pPr>
        <w:pStyle w:val="style0"/>
        <w:spacing w:lineRule="atLeast" w:line="200"/>
        <w:ind w:left="1114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before="3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0"/>
        <w:spacing w:before="107"/>
        <w:ind w:left="1858"/>
        <w:rPr>
          <w:rFonts w:ascii="微软雅黑" w:cs="微软雅黑" w:eastAsia="微软雅黑" w:hAnsi="微软雅黑"/>
          <w:sz w:val="48"/>
          <w:szCs w:val="48"/>
          <w:lang w:eastAsia="zh-CN"/>
        </w:rPr>
      </w:pPr>
      <w:r>
        <w:rPr>
          <w:rFonts w:ascii="微软雅黑" w:cs="微软雅黑" w:eastAsia="微软雅黑" w:hAnsi="微软雅黑"/>
          <w:b/>
          <w:bCs/>
          <w:sz w:val="48"/>
          <w:szCs w:val="48"/>
          <w:lang w:eastAsia="zh-CN"/>
        </w:rPr>
        <w:t>公共交通设施布局说明</w:t>
      </w:r>
    </w:p>
    <w:p>
      <w:pPr>
        <w:pStyle w:val="style0"/>
        <w:rPr>
          <w:rFonts w:ascii="微软雅黑" w:cs="微软雅黑" w:eastAsia="微软雅黑" w:hAnsi="微软雅黑"/>
          <w:b/>
          <w:bCs/>
          <w:sz w:val="48"/>
          <w:szCs w:val="48"/>
          <w:lang w:eastAsia="zh-CN"/>
        </w:rPr>
      </w:pPr>
    </w:p>
    <w:p>
      <w:pPr>
        <w:pStyle w:val="style0"/>
        <w:rPr>
          <w:rFonts w:ascii="微软雅黑" w:cs="微软雅黑" w:eastAsia="微软雅黑" w:hAnsi="微软雅黑"/>
          <w:b/>
          <w:bCs/>
          <w:sz w:val="48"/>
          <w:szCs w:val="48"/>
          <w:lang w:eastAsia="zh-CN"/>
        </w:rPr>
      </w:pPr>
    </w:p>
    <w:p>
      <w:pPr>
        <w:pStyle w:val="style0"/>
        <w:rPr>
          <w:rFonts w:ascii="微软雅黑" w:cs="微软雅黑" w:eastAsia="微软雅黑" w:hAnsi="微软雅黑" w:hint="eastAsia"/>
          <w:b/>
          <w:bCs/>
          <w:sz w:val="48"/>
          <w:szCs w:val="48"/>
          <w:lang w:eastAsia="zh-CN"/>
        </w:rPr>
      </w:pPr>
      <w:r>
        <w:rPr>
          <w:rFonts w:ascii="微软雅黑" w:cs="微软雅黑" w:eastAsia="微软雅黑" w:hAnsi="微软雅黑"/>
          <w:b/>
          <w:bCs/>
          <w:sz w:val="48"/>
          <w:szCs w:val="48"/>
          <w:lang w:eastAsia="zh-CN"/>
        </w:rPr>
        <w:br w:type="page"/>
      </w:r>
    </w:p>
    <w:p>
      <w:pPr>
        <w:pStyle w:val="style0"/>
        <w:rPr>
          <w:rFonts w:ascii="宋体" w:cs="宋体" w:eastAsia="宋体" w:hAnsi="宋体"/>
          <w:b/>
          <w:bCs/>
          <w:sz w:val="36"/>
          <w:szCs w:val="36"/>
          <w:lang w:eastAsia="zh-CN"/>
        </w:rPr>
      </w:pPr>
    </w:p>
    <w:p>
      <w:pPr>
        <w:pStyle w:val="style3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</w:t>
      </w:r>
      <w:r>
        <w:rPr>
          <w:rFonts w:hint="eastAsia"/>
          <w:u w:val="single"/>
          <w:lang w:eastAsia="zh-CN"/>
        </w:rPr>
        <w:t>重塑社区活动中心</w:t>
      </w:r>
      <w:r>
        <w:rPr>
          <w:u w:val="single"/>
          <w:lang w:eastAsia="zh-CN"/>
        </w:rPr>
        <w:t xml:space="preserve">                     </w:t>
      </w:r>
    </w:p>
    <w:p>
      <w:pPr>
        <w:pStyle w:val="style3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pStyle w:val="style0"/>
        <w:ind w:left="144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/>
          <w:bCs/>
          <w:sz w:val="20"/>
          <w:szCs w:val="20"/>
          <w:lang w:eastAsia="zh-CN"/>
        </w:rPr>
        <w:t>6.1.2</w:t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pStyle w:val="style0"/>
        <w:ind w:left="144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/>
          <w:bCs/>
          <w:sz w:val="20"/>
          <w:szCs w:val="20"/>
          <w:lang w:eastAsia="zh-CN"/>
        </w:rPr>
        <w:t>6.2.1</w:t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pStyle w:val="style0"/>
        <w:ind w:left="1440" w:firstLine="105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pStyle w:val="style0"/>
        <w:ind w:left="144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pStyle w:val="style0"/>
        <w:ind w:left="720" w:firstLine="72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/>
          <w:bCs/>
          <w:sz w:val="20"/>
          <w:szCs w:val="20"/>
          <w:lang w:eastAsia="zh-CN"/>
        </w:rPr>
        <w:t>6.2.3</w:t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pStyle w:val="style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</w:t>
      </w:r>
      <w:r>
        <w:rPr>
          <w:rFonts w:ascii="宋体" w:cs="宋体" w:eastAsia="宋体" w:hAnsi="宋体"/>
          <w:bCs/>
          <w:sz w:val="20"/>
          <w:szCs w:val="20"/>
          <w:lang w:eastAsia="zh-CN"/>
        </w:rPr>
        <w:tab/>
      </w:r>
      <w:r>
        <w:rPr>
          <w:rFonts w:ascii="宋体" w:cs="宋体" w:eastAsia="宋体" w:hAnsi="宋体"/>
          <w:bCs/>
          <w:sz w:val="20"/>
          <w:szCs w:val="20"/>
          <w:lang w:eastAsia="zh-CN"/>
        </w:rPr>
        <w:tab/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pStyle w:val="style0"/>
        <w:ind w:left="1760" w:leftChars="80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pStyle w:val="style0"/>
        <w:ind w:left="1760" w:leftChars="80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pStyle w:val="style0"/>
        <w:ind w:left="1760" w:leftChars="80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pStyle w:val="style0"/>
        <w:ind w:left="1760" w:leftChars="80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pStyle w:val="style0"/>
        <w:ind w:left="1760" w:leftChars="80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pStyle w:val="style0"/>
        <w:ind w:left="1760" w:leftChars="80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pStyle w:val="style0"/>
        <w:ind w:left="1760" w:leftChars="80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pStyle w:val="style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cs="宋体" w:eastAsia="宋体" w:hAnsi="宋体"/>
          <w:bCs/>
          <w:sz w:val="20"/>
          <w:szCs w:val="20"/>
          <w:lang w:eastAsia="zh-CN"/>
        </w:rPr>
        <w:tab/>
      </w:r>
      <w:r>
        <w:rPr>
          <w:rFonts w:ascii="宋体" w:cs="宋体" w:eastAsia="宋体" w:hAnsi="宋体"/>
          <w:bCs/>
          <w:sz w:val="20"/>
          <w:szCs w:val="20"/>
          <w:lang w:eastAsia="zh-CN"/>
        </w:rPr>
        <w:tab/>
      </w:r>
      <w:r>
        <w:rPr>
          <w:rFonts w:ascii="宋体" w:cs="宋体" w:eastAsia="宋体" w:hAnsi="宋体"/>
          <w:bCs/>
          <w:sz w:val="20"/>
          <w:szCs w:val="20"/>
          <w:lang w:eastAsia="zh-CN"/>
        </w:rPr>
        <w:t xml:space="preserve"> </w:t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公共建筑</w:t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>
      <w:pPr>
        <w:pStyle w:val="style0"/>
        <w:ind w:left="660" w:leftChars="30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pStyle w:val="style0"/>
        <w:ind w:left="660" w:leftChars="30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pStyle w:val="style0"/>
        <w:ind w:left="660" w:leftChars="30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pStyle w:val="style0"/>
        <w:ind w:left="660" w:leftChars="30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pStyle w:val="style0"/>
        <w:ind w:left="660" w:leftChars="30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pStyle w:val="style0"/>
        <w:ind w:left="138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/>
          <w:bCs/>
          <w:sz w:val="20"/>
          <w:szCs w:val="20"/>
          <w:lang w:eastAsia="zh-CN"/>
        </w:rPr>
        <w:t xml:space="preserve">6.2.4 </w:t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pStyle w:val="style0"/>
        <w:ind w:left="1440"/>
        <w:rPr>
          <w:rFonts w:ascii="宋体" w:cs="宋体" w:eastAsia="宋体" w:hAnsi="宋体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pStyle w:val="style0"/>
        <w:rPr>
          <w:rFonts w:ascii="宋体" w:cs="宋体" w:eastAsia="宋体" w:hAnsi="宋体" w:hint="eastAsia"/>
          <w:bCs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 xml:space="preserve">     </w:t>
      </w:r>
      <w:r>
        <w:rPr>
          <w:rFonts w:ascii="宋体" w:cs="宋体" w:eastAsia="宋体" w:hAnsi="宋体"/>
          <w:bCs/>
          <w:sz w:val="20"/>
          <w:szCs w:val="20"/>
          <w:lang w:eastAsia="zh-CN"/>
        </w:rPr>
        <w:tab/>
      </w:r>
      <w:r>
        <w:rPr>
          <w:rFonts w:ascii="宋体" w:cs="宋体" w:eastAsia="宋体" w:hAnsi="宋体"/>
          <w:bCs/>
          <w:sz w:val="20"/>
          <w:szCs w:val="20"/>
          <w:lang w:eastAsia="zh-CN"/>
        </w:rPr>
        <w:tab/>
      </w:r>
      <w:r>
        <w:rPr>
          <w:rFonts w:ascii="宋体" w:cs="宋体" w:eastAsia="宋体" w:hAnsi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3"/>
        <w:ind w:left="338"/>
        <w:rPr>
          <w:b w:val="false"/>
          <w:bCs w:val="false"/>
          <w:lang w:eastAsia="zh-CN"/>
        </w:rPr>
      </w:pPr>
      <w:r>
        <w:rPr>
          <w:lang w:eastAsia="zh-CN"/>
        </w:rPr>
        <w:t>工程概况：</w:t>
      </w:r>
      <w:bookmarkStart w:id="0" w:name="_GoBack"/>
      <w:bookmarkEnd w:id="0"/>
    </w:p>
    <w:p>
      <w:pPr>
        <w:pStyle w:val="style0"/>
        <w:spacing w:before="8"/>
        <w:rPr>
          <w:rFonts w:ascii="宋体" w:cs="宋体" w:eastAsia="宋体" w:hAnsi="宋体"/>
          <w:b/>
          <w:bCs/>
          <w:sz w:val="17"/>
          <w:szCs w:val="17"/>
          <w:lang w:eastAsia="zh-CN"/>
        </w:rPr>
      </w:pP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 </w:t>
      </w:r>
      <w:r>
        <w:rPr>
          <w:rFonts w:hint="eastAsia"/>
          <w:spacing w:val="4"/>
          <w:u w:val="single"/>
          <w:lang w:eastAsia="zh-CN"/>
        </w:rPr>
        <w:t>望江</w:t>
      </w:r>
      <w:r>
        <w:rPr>
          <w:spacing w:val="4"/>
          <w:u w:val="single"/>
          <w:lang w:eastAsia="zh-CN"/>
        </w:rPr>
        <w:t xml:space="preserve">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cs="Calibri" w:eastAsia="Calibri" w:hAnsi="Calibri"/>
          <w:u w:val="single" w:color="000000"/>
          <w:lang w:eastAsia="zh-CN"/>
        </w:rPr>
        <w:t xml:space="preserve">      </w:t>
      </w:r>
      <w:r>
        <w:rPr>
          <w:rFonts w:ascii="Calibri" w:cs="Calibri" w:eastAsia="Calibri" w:hAnsi="Calibri"/>
          <w:u w:val="single" w:color="000000"/>
          <w:lang w:val="en-US" w:eastAsia="zh-CN"/>
        </w:rPr>
        <w:t>3531.18</w:t>
      </w:r>
      <w:r>
        <w:rPr>
          <w:rFonts w:ascii="Calibri" w:cs="Calibri" w:eastAsia="Calibri" w:hAnsi="Calibri"/>
          <w:u w:val="single" w:color="000000"/>
          <w:lang w:eastAsia="zh-CN"/>
        </w:rPr>
        <w:t xml:space="preserve">   </w:t>
      </w:r>
      <w:r>
        <w:rPr>
          <w:rFonts w:ascii="Calibri" w:cs="Calibri" w:eastAsia="Calibri" w:hAnsi="Calibri"/>
          <w:u w:val="single" w:color="000000"/>
          <w:lang w:eastAsia="zh-CN"/>
        </w:rPr>
        <w:t xml:space="preserve"> </w:t>
      </w:r>
      <w:r>
        <w:rPr>
          <w:rFonts w:ascii="Calibri" w:cs="Calibri" w:eastAsia="Calibri" w:hAnsi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spacing w:val="4"/>
          <w:lang w:val="en-US" w:eastAsia="zh-CN"/>
        </w:rPr>
        <w:t>2963.97</w:t>
      </w:r>
      <w:r>
        <w:rPr>
          <w:rFonts w:ascii="Calibri" w:cs="Calibri" w:eastAsia="Calibri" w:hAnsi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平方米，总户数</w:t>
      </w:r>
      <w:r>
        <w:rPr>
          <w:rFonts w:ascii="Calibri" w:cs="Calibri" w:eastAsia="Calibri" w:hAnsi="Calibri"/>
          <w:u w:val="single" w:color="000000"/>
          <w:lang w:eastAsia="zh-CN"/>
        </w:rPr>
        <w:t xml:space="preserve">       </w:t>
      </w:r>
      <w:r>
        <w:rPr>
          <w:rFonts w:ascii="Calibri" w:cs="Calibri" w:eastAsia="Calibri" w:hAnsi="Calibri"/>
          <w:u w:val="single" w:color="000000"/>
          <w:lang w:val="en-US" w:eastAsia="zh-CN"/>
        </w:rPr>
        <w:t>200</w:t>
      </w:r>
      <w:r>
        <w:rPr>
          <w:rFonts w:ascii="Calibri" w:cs="Calibri" w:eastAsia="Calibri" w:hAnsi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cs="Calibri" w:eastAsia="Calibri" w:hAnsi="Calibri"/>
          <w:spacing w:val="31"/>
          <w:u w:val="single" w:color="000000"/>
          <w:lang w:eastAsia="zh-CN"/>
        </w:rPr>
        <w:t xml:space="preserve"> </w:t>
      </w:r>
      <w:r>
        <w:rPr>
          <w:rFonts w:ascii="Calibri" w:cs="Calibri" w:eastAsia="Calibri" w:hAnsi="Calibri"/>
          <w:spacing w:val="31"/>
          <w:u w:val="single" w:color="000000"/>
          <w:lang w:eastAsia="zh-CN"/>
        </w:rPr>
        <w:t xml:space="preserve">   </w:t>
      </w:r>
      <w:r>
        <w:rPr>
          <w:rFonts w:ascii="Calibri" w:cs="Calibri" w:eastAsia="Calibri" w:hAnsi="Calibri"/>
          <w:spacing w:val="31"/>
          <w:u w:val="single" w:color="000000"/>
          <w:lang w:val="en-US" w:eastAsia="zh-CN"/>
        </w:rPr>
        <w:t>1000</w:t>
      </w:r>
      <w:r>
        <w:rPr>
          <w:rFonts w:ascii="Calibri" w:cs="Calibri" w:eastAsia="Calibri" w:hAnsi="Calibri"/>
          <w:spacing w:val="31"/>
          <w:u w:val="single" w:color="000000"/>
          <w:lang w:eastAsia="zh-CN"/>
        </w:rPr>
        <w:t xml:space="preserve">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cs="Calibri" w:eastAsia="Calibri" w:hAnsi="Calibri"/>
          <w:spacing w:val="-1"/>
          <w:u w:val="single"/>
          <w:lang w:eastAsia="zh-CN"/>
        </w:rPr>
        <w:t xml:space="preserve"> </w:t>
      </w:r>
      <w:r>
        <w:rPr>
          <w:rFonts w:ascii="Calibri" w:cs="Calibri" w:eastAsia="Calibri" w:hAnsi="Calibri"/>
          <w:spacing w:val="-1"/>
          <w:u w:val="single"/>
          <w:lang w:val="en-US" w:eastAsia="zh-CN"/>
        </w:rPr>
        <w:t>3</w:t>
      </w:r>
      <w:r>
        <w:rPr>
          <w:rFonts w:ascii="Calibri" w:cs="Calibri" w:eastAsia="Calibri" w:hAnsi="Calibri"/>
          <w:spacing w:val="-1"/>
          <w:u w:val="single"/>
          <w:lang w:eastAsia="zh-CN"/>
        </w:rPr>
        <w:t xml:space="preserve">              </w:t>
      </w:r>
      <w:r>
        <w:rPr>
          <w:spacing w:val="-1"/>
          <w:lang w:eastAsia="zh-CN"/>
        </w:rPr>
        <w:t>层，地上面积</w:t>
      </w:r>
      <w:r>
        <w:rPr>
          <w:rFonts w:ascii="Calibri" w:cs="Calibri" w:eastAsia="Calibri" w:hAnsi="Calibri"/>
          <w:lang w:eastAsia="zh-CN"/>
        </w:rPr>
        <w:t xml:space="preserve"> </w:t>
      </w:r>
      <w:r>
        <w:rPr>
          <w:rFonts w:ascii="Calibri" w:cs="Calibri" w:eastAsia="Calibri" w:hAnsi="Calibri"/>
          <w:u w:val="single"/>
          <w:lang w:eastAsia="zh-CN"/>
        </w:rPr>
        <w:t xml:space="preserve">         </w:t>
      </w:r>
      <w:r>
        <w:rPr>
          <w:rFonts w:ascii="Calibri" w:cs="Calibri" w:eastAsia="Calibri" w:hAnsi="Calibri"/>
          <w:u w:val="single"/>
          <w:lang w:val="en-US" w:eastAsia="zh-CN"/>
        </w:rPr>
        <w:t>2963.97</w:t>
      </w:r>
      <w:r>
        <w:rPr>
          <w:rFonts w:ascii="Calibri" w:cs="Calibri" w:eastAsia="Calibri" w:hAnsi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cs="Calibri" w:eastAsia="Calibri" w:hAnsi="Calibri"/>
          <w:u w:val="single"/>
          <w:lang w:eastAsia="zh-CN"/>
        </w:rPr>
        <w:t xml:space="preserve">        </w:t>
      </w:r>
      <w:r>
        <w:rPr>
          <w:rFonts w:ascii="Calibri" w:cs="Calibri" w:eastAsia="Calibri" w:hAnsi="Calibri"/>
          <w:u w:val="single"/>
          <w:lang w:val="en-US" w:eastAsia="zh-CN"/>
        </w:rPr>
        <w:t>0</w:t>
      </w:r>
      <w:r>
        <w:rPr>
          <w:rFonts w:ascii="Calibri" w:cs="Calibri" w:eastAsia="Calibri" w:hAnsi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style0"/>
        <w:rPr>
          <w:rFonts w:ascii="宋体" w:cs="宋体" w:eastAsia="宋体" w:hAnsi="宋体" w:hint="eastAsia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right="327"/>
        <w:rPr>
          <w:rFonts w:cs="宋体"/>
          <w:b/>
          <w:bCs/>
          <w:lang w:eastAsia="zh-CN"/>
        </w:rPr>
      </w:pP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</w:t>
      </w:r>
      <w:r>
        <w:rPr>
          <w:rFonts w:cs="宋体"/>
          <w:bCs/>
          <w:u w:val="single"/>
          <w:lang w:val="en-US" w:eastAsia="zh-CN"/>
        </w:rPr>
        <w:t>680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cs="宋体" w:hint="eastAsia"/>
          <w:bCs/>
          <w:u w:val="single"/>
          <w:lang w:eastAsia="zh-CN"/>
        </w:rPr>
        <w:t>米</w:t>
      </w:r>
    </w:p>
    <w:p>
      <w:pPr>
        <w:pStyle w:val="style66"/>
        <w:tabs>
          <w:tab w:val="left" w:leader="none" w:pos="1305"/>
          <w:tab w:val="left" w:leader="none" w:pos="3703"/>
        </w:tabs>
        <w:spacing w:lineRule="auto" w:line="277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cs="宋体"/>
          <w:bCs/>
          <w:u w:val="single"/>
          <w:lang w:val="en-US" w:eastAsia="zh-CN"/>
        </w:rPr>
        <w:t>628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cs="宋体" w:hint="eastAsia"/>
          <w:bCs/>
          <w:u w:val="single"/>
          <w:lang w:eastAsia="zh-CN"/>
        </w:rPr>
        <w:t>米</w:t>
      </w:r>
    </w:p>
    <w:p>
      <w:pPr>
        <w:pStyle w:val="style0"/>
        <w:spacing w:before="9"/>
        <w:rPr>
          <w:rFonts w:ascii="Calibri" w:cs="Calibri" w:hAnsi="Calibri" w:hint="eastAsia"/>
          <w:sz w:val="25"/>
          <w:szCs w:val="25"/>
          <w:lang w:eastAsia="zh-CN"/>
        </w:rPr>
      </w:pPr>
    </w:p>
    <w:p>
      <w:pPr>
        <w:pStyle w:val="style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style3"/>
        <w:spacing w:before="0"/>
        <w:rPr>
          <w:b w:val="false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false"/>
          <w:w w:val="95"/>
          <w:u w:val="single"/>
          <w:lang w:eastAsia="zh-CN"/>
        </w:rPr>
        <w:t xml:space="preserve">                                     </w:t>
      </w:r>
    </w:p>
    <w:p>
      <w:pPr>
        <w:pStyle w:val="style3"/>
        <w:spacing w:before="0"/>
        <w:ind w:firstLine="602"/>
        <w:rPr>
          <w:b w:val="false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false"/>
          <w:w w:val="95"/>
          <w:u w:val="single"/>
          <w:lang w:eastAsia="zh-CN"/>
        </w:rPr>
        <w:t xml:space="preserve">                                     </w:t>
      </w:r>
    </w:p>
    <w:p>
      <w:pPr>
        <w:pStyle w:val="style3"/>
        <w:spacing w:before="0"/>
        <w:ind w:firstLine="602"/>
        <w:rPr>
          <w:b w:val="false"/>
          <w:w w:val="95"/>
          <w:u w:val="single"/>
          <w:lang w:eastAsia="zh-CN"/>
        </w:rPr>
      </w:pPr>
    </w:p>
    <w:p>
      <w:pPr>
        <w:pStyle w:val="style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style3"/>
        <w:spacing w:before="0"/>
        <w:ind w:firstLine="602"/>
        <w:rPr>
          <w:rFonts w:hint="eastAsia"/>
          <w:b w:val="false"/>
          <w:bCs w:val="false"/>
          <w:u w:val="single"/>
          <w:lang w:eastAsia="zh-CN"/>
        </w:rPr>
      </w:pPr>
      <w:r>
        <w:rPr>
          <w:noProof/>
          <w:lang w:eastAsia="zh-CN"/>
        </w:rPr>
        <w:drawing>
          <wp:inline distL="0" distT="0" distB="0" distR="0">
            <wp:extent cx="5123809" cy="6819048"/>
            <wp:effectExtent l="0" t="0" r="1270" b="127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23809" cy="68190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exact" w:line="311"/>
        <w:ind w:left="118"/>
        <w:rPr>
          <w:rFonts w:ascii="微软雅黑" w:cs="微软雅黑" w:eastAsia="微软雅黑" w:hAnsi="微软雅黑" w:hint="eastAsia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cs="微软雅黑" w:eastAsia="微软雅黑" w:hAnsi="微软雅黑"/>
          <w:sz w:val="21"/>
          <w:szCs w:val="21"/>
          <w:lang w:eastAsia="zh-CN"/>
        </w:rPr>
        <w:t xml:space="preserve"> </w:t>
      </w: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style66"/>
        <w:tabs>
          <w:tab w:val="left" w:leader="none" w:pos="1307"/>
          <w:tab w:val="left" w:leader="none" w:pos="3703"/>
        </w:tabs>
        <w:spacing w:lineRule="auto" w:line="277"/>
        <w:ind w:left="118" w:right="327"/>
        <w:rPr>
          <w:rFonts w:hint="eastAsia"/>
          <w:u w:val="single"/>
          <w:lang w:eastAsia="zh-CN"/>
        </w:rPr>
      </w:pPr>
      <w:r>
        <w:rPr>
          <w:rFonts w:cs="宋体" w:hint="eastAsia"/>
          <w:b/>
          <w:bCs/>
          <w:lang w:eastAsia="zh-CN"/>
        </w:rPr>
        <w:t xml:space="preserve">                   气象局：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cs="宋体"/>
          <w:bCs/>
          <w:u w:val="single"/>
          <w:lang w:val="en-US" w:eastAsia="zh-CN"/>
        </w:rPr>
        <w:t>769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cs="宋体" w:hint="eastAsia"/>
          <w:bCs/>
          <w:u w:val="single"/>
          <w:lang w:eastAsia="zh-CN"/>
        </w:rPr>
        <w:t>米</w:t>
      </w:r>
    </w:p>
    <w:p>
      <w:pPr>
        <w:pStyle w:val="style66"/>
        <w:tabs>
          <w:tab w:val="left" w:leader="none" w:pos="1305"/>
          <w:tab w:val="left" w:leader="none" w:pos="3703"/>
        </w:tabs>
        <w:spacing w:lineRule="auto" w:line="277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检察院：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cs="宋体"/>
          <w:bCs/>
          <w:u w:val="single"/>
          <w:lang w:val="en-US" w:eastAsia="zh-CN"/>
        </w:rPr>
        <w:t>627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cs="宋体" w:hint="eastAsia"/>
          <w:bCs/>
          <w:u w:val="single"/>
          <w:lang w:eastAsia="zh-CN"/>
        </w:rPr>
        <w:t>米</w:t>
      </w:r>
    </w:p>
    <w:p>
      <w:pPr>
        <w:pStyle w:val="style3"/>
        <w:spacing w:before="0"/>
        <w:ind w:left="0"/>
        <w:rPr>
          <w:rFonts w:hint="eastAsia"/>
          <w:b w:val="false"/>
          <w:w w:val="95"/>
          <w:u w:val="single"/>
          <w:lang w:eastAsia="zh-CN"/>
        </w:rPr>
      </w:pPr>
    </w:p>
    <w:p>
      <w:pPr>
        <w:pStyle w:val="style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cs="宋体" w:hint="eastAsia"/>
          <w:bCs w:val="false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style3"/>
        <w:spacing w:before="0"/>
        <w:rPr>
          <w:rFonts w:cs="宋体" w:hint="eastAsia"/>
          <w:lang w:eastAsia="zh-CN"/>
        </w:rPr>
      </w:pPr>
      <w:r>
        <w:rPr>
          <w:noProof/>
          <w:lang w:eastAsia="zh-CN"/>
        </w:rPr>
        <w:drawing>
          <wp:inline distL="0" distT="0" distB="0" distR="0">
            <wp:extent cx="5429250" cy="6254750"/>
            <wp:effectExtent l="0" t="0" r="0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0" cy="6254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  <w:r>
        <w:rPr>
          <w:rFonts w:ascii="宋体" w:cs="宋体" w:eastAsia="宋体" w:hAnsi="宋体"/>
          <w:b/>
          <w:bCs/>
          <w:sz w:val="20"/>
          <w:szCs w:val="20"/>
          <w:lang w:eastAsia="zh-CN"/>
        </w:rPr>
        <w:br w:type="page"/>
      </w:r>
    </w:p>
    <w:p>
      <w:pPr>
        <w:pStyle w:val="style3"/>
        <w:ind w:left="0"/>
        <w:rPr>
          <w:rFonts w:hint="eastAsia"/>
          <w:lang w:eastAsia="zh-CN"/>
        </w:rPr>
      </w:pPr>
    </w:p>
    <w:p>
      <w:pPr>
        <w:pStyle w:val="style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style3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</w:p>
    <w:p>
      <w:pPr>
        <w:pStyle w:val="style3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lang w:val="en-US" w:eastAsia="zh-CN"/>
        </w:rPr>
        <w:t>6.2.2</w:t>
      </w:r>
      <w:r>
        <w:rPr>
          <w:lang w:eastAsia="zh-CN"/>
        </w:rPr>
        <w:t>条要求，可得</w:t>
      </w:r>
      <w:r>
        <w:rPr>
          <w:lang w:val="en-US" w:eastAsia="zh-CN"/>
        </w:rPr>
        <w:t>4</w:t>
      </w:r>
      <w:r>
        <w:rPr>
          <w:lang w:eastAsia="zh-CN"/>
        </w:rPr>
        <w:t>分。</w:t>
      </w:r>
    </w:p>
    <w:p>
      <w:pPr>
        <w:spacing w:before="26" w:lineRule="auto" w:line="240"/>
        <w:ind w:left="338"/>
        <w:jc w:val="left"/>
        <w:outlineLvl w:val="2"/>
        <w:rPr>
          <w:rFonts w:hint="eastAsia"/>
          <w:lang w:eastAsia="zh-CN"/>
        </w:rPr>
      </w:pP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满足第6.2.3条要求，可得5分。</w:t>
      </w:r>
    </w:p>
    <w:p>
      <w:pPr>
        <w:spacing w:before="26" w:lineRule="auto" w:line="240"/>
        <w:ind w:left="338"/>
        <w:jc w:val="left"/>
        <w:outlineLvl w:val="2"/>
        <w:rPr>
          <w:rFonts w:hint="eastAsia"/>
          <w:lang w:eastAsia="zh-CN"/>
        </w:rPr>
      </w:pP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满足第6.2.4条要求，可得2分。</w:t>
      </w:r>
    </w:p>
    <w:p>
      <w:pPr>
        <w:pStyle w:val="style0"/>
        <w:spacing w:before="26" w:lineRule="auto" w:line="240"/>
        <w:ind w:left="338"/>
        <w:jc w:val="left"/>
        <w:outlineLvl w:val="2"/>
        <w:rPr>
          <w:rFonts w:hint="eastAsia"/>
          <w:lang w:eastAsia="zh-CN"/>
        </w:rPr>
      </w:pPr>
    </w:p>
    <w:p>
      <w:pPr>
        <w:pStyle w:val="style3"/>
        <w:ind w:left="338"/>
        <w:rPr>
          <w:rFonts w:hint="eastAsia"/>
          <w:lang w:eastAsia="zh-CN"/>
        </w:rPr>
      </w:pPr>
    </w:p>
    <w:p>
      <w:pPr>
        <w:pStyle w:val="style0"/>
        <w:rPr>
          <w:rFonts w:ascii="宋体" w:cs="宋体" w:eastAsia="宋体" w:hAnsi="宋体"/>
          <w:b/>
          <w:bCs/>
          <w:sz w:val="20"/>
          <w:szCs w:val="20"/>
          <w:lang w:eastAsia="zh-CN"/>
        </w:rPr>
      </w:pPr>
    </w:p>
    <w:sectPr>
      <w:type w:val="continuous"/>
      <w:pgSz w:w="11910" w:h="16840" w:orient="portrait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uiPriority w:val="1"/>
    <w:pPr/>
  </w:style>
  <w:style w:type="paragraph" w:styleId="style1">
    <w:name w:val="heading 1"/>
    <w:basedOn w:val="style0"/>
    <w:next w:val="style1"/>
    <w:qFormat/>
    <w:uiPriority w:val="1"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style2">
    <w:name w:val="heading 2"/>
    <w:basedOn w:val="style0"/>
    <w:next w:val="style2"/>
    <w:qFormat/>
    <w:uiPriority w:val="1"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style3">
    <w:name w:val="heading 3"/>
    <w:basedOn w:val="style0"/>
    <w:next w:val="style3"/>
    <w:qFormat/>
    <w:uiPriority w:val="1"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118"/>
    </w:pPr>
    <w:rPr>
      <w:rFonts w:ascii="宋体" w:eastAsia="宋体" w:hAnsi="宋体"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Words>903</Words>
  <Pages>1</Pages>
  <Characters>1030</Characters>
  <Application>WPS Office</Application>
  <DocSecurity>0</DocSecurity>
  <Paragraphs>82</Paragraphs>
  <ScaleCrop>false</ScaleCrop>
  <LinksUpToDate>false</LinksUpToDate>
  <CharactersWithSpaces>1456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2020-01-09T10:59:00Z</dcterms:created>
  <dc:creator>p</dc:creator>
  <lastModifiedBy>MRR-W29</lastModifiedBy>
  <dcterms:modified xsi:type="dcterms:W3CDTF">2023-03-08T09:41:51Z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ICV">
    <vt:lpwstr>5e5c9bffbfc24648b5e9ea0f99a7bb69</vt:lpwstr>
  </property>
</Properties>
</file>