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 w:eastAsia="zh-CN"/>
        </w:rPr>
        <w:t>公共</w:t>
      </w:r>
      <w:r>
        <w:rPr>
          <w:rFonts w:hint="eastAsia" w:ascii="宋体" w:hAnsi="宋体"/>
          <w:bCs/>
          <w:sz w:val="44"/>
          <w:szCs w:val="44"/>
          <w:lang w:val="en-US"/>
        </w:rPr>
        <w:t>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项目名称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“重塑”社区活动中心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3" w:name="地理位置"/>
            <w:r>
              <w:rPr>
                <w:rFonts w:hint="eastAsia"/>
                <w:szCs w:val="22"/>
                <w:lang w:val="en-US" w:eastAsia="zh-CN"/>
              </w:rPr>
              <w:t>陕西</w:t>
            </w:r>
            <w:r>
              <w:rPr>
                <w:rFonts w:hint="eastAsia"/>
                <w:szCs w:val="22"/>
              </w:rPr>
              <w:t>-</w:t>
            </w:r>
            <w:bookmarkEnd w:id="3"/>
            <w:r>
              <w:rPr>
                <w:rFonts w:hint="eastAsia"/>
                <w:szCs w:val="22"/>
                <w:lang w:val="en-US" w:eastAsia="zh-CN"/>
              </w:rPr>
              <w:t>汉中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年2月15日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</w:pPr>
      <w:bookmarkStart w:id="8" w:name="二维码"/>
      <w:bookmarkEnd w:id="8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bookmarkStart w:id="9" w:name="软件全称"/>
            <w:r>
              <w:rPr>
                <w:rFonts w:hint="eastAsia"/>
              </w:rPr>
              <w:t>节能设计BECS202</w:t>
            </w:r>
            <w:bookmarkEnd w:id="9"/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18"/>
              </w:rPr>
              <w:t>0</w:t>
            </w:r>
            <w:bookmarkEnd w:id="10"/>
            <w:r>
              <w:rPr>
                <w:rFonts w:hint="eastAsia" w:ascii="宋体" w:hAnsi="宋体"/>
                <w:szCs w:val="18"/>
              </w:rPr>
              <w:t>505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N1AEDFF0673AAAFD9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/>
                <w:lang w:val="en-US" w:eastAsia="zh-CN"/>
              </w:rPr>
            </w:pPr>
            <w:bookmarkStart w:id="13" w:name="工程名称"/>
            <w:bookmarkEnd w:id="13"/>
            <w:r>
              <w:rPr>
                <w:rFonts w:hint="eastAsia" w:ascii="宋体" w:hAnsi="宋体"/>
                <w:lang w:val="en-US" w:eastAsia="zh-CN"/>
              </w:rPr>
              <w:t>“重塑”社区活动中心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14" w:name="工程地点"/>
            <w:r>
              <w:rPr>
                <w:rFonts w:hint="eastAsia"/>
                <w:lang w:val="en-US" w:eastAsia="zh-CN"/>
              </w:rPr>
              <w:t>陕西</w:t>
            </w:r>
            <w:r>
              <w:rPr>
                <w:rFonts w:hint="eastAsia"/>
              </w:rPr>
              <w:t>-</w:t>
            </w:r>
            <w:bookmarkEnd w:id="14"/>
            <w:r>
              <w:rPr>
                <w:rFonts w:hint="eastAsia"/>
                <w:lang w:val="en-US" w:eastAsia="zh-CN"/>
              </w:rPr>
              <w:t>汉中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bookmarkStart w:id="15" w:name="气候分区"/>
            <w:r>
              <w:rPr>
                <w:rFonts w:hint="eastAsia"/>
                <w:lang w:val="en-US" w:eastAsia="zh-CN"/>
              </w:rPr>
              <w:t>夏热冬冷地</w:t>
            </w:r>
            <w:r>
              <w:rPr>
                <w:rFonts w:hint="eastAsia"/>
              </w:rPr>
              <w:t>区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2963.97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21.5m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bookmarkStart w:id="16" w:name="北向角度"/>
            <w:r>
              <w:rPr>
                <w:rFonts w:hint="eastAsia"/>
              </w:rPr>
              <w:t>90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17" w:name="结构类型"/>
            <w:bookmarkEnd w:id="17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lang w:val="en-US"/>
              </w:rPr>
            </w:pPr>
            <w:bookmarkStart w:id="18" w:name="采暖期平均外温"/>
            <w:r>
              <w:rPr>
                <w:rFonts w:hint="eastAsia"/>
              </w:rPr>
              <w:t>0.10</w:t>
            </w:r>
            <w:bookmarkEnd w:id="18"/>
          </w:p>
        </w:tc>
      </w:tr>
    </w:tbl>
    <w:p>
      <w:pPr>
        <w:pStyle w:val="2"/>
      </w:pPr>
      <w:bookmarkStart w:id="19" w:name="_Toc316568036"/>
      <w:bookmarkStart w:id="20" w:name="TitleFormat"/>
      <w:r>
        <w:rPr>
          <w:rFonts w:hint="eastAsia"/>
        </w:rPr>
        <w:t>设计依据</w:t>
      </w:r>
      <w:bookmarkEnd w:id="19"/>
    </w:p>
    <w:bookmarkEnd w:id="20"/>
    <w:p>
      <w:pPr>
        <w:widowControl w:val="0"/>
        <w:numPr>
          <w:ilvl w:val="0"/>
          <w:numId w:val="2"/>
        </w:numPr>
        <w:jc w:val="both"/>
        <w:rPr>
          <w:kern w:val="2"/>
          <w:szCs w:val="24"/>
          <w:lang w:val="en-US"/>
        </w:rPr>
      </w:pPr>
      <w:bookmarkStart w:id="21" w:name="计算依据"/>
      <w:bookmarkEnd w:id="21"/>
      <w:r>
        <w:rPr>
          <w:kern w:val="2"/>
          <w:szCs w:val="24"/>
          <w:lang w:val="en-US"/>
        </w:rPr>
        <w:t>《公共建筑节能设计标准》GB50189-2015</w:t>
      </w:r>
    </w:p>
    <w:p>
      <w:pPr>
        <w:numPr>
          <w:ilvl w:val="0"/>
          <w:numId w:val="2"/>
        </w:numPr>
        <w:spacing w:line="240" w:lineRule="atLeast"/>
        <w:ind w:left="0" w:leftChars="0" w:firstLine="0" w:firstLineChars="0"/>
      </w:pPr>
      <w:bookmarkStart w:id="22" w:name="标准名称"/>
      <w:r>
        <w:rPr>
          <w:rFonts w:hint="eastAsia"/>
        </w:rPr>
        <w:t>夏热冬暖地区居住建筑节能设计标准JGJ 75-2012</w:t>
      </w:r>
      <w:bookmarkEnd w:id="22"/>
    </w:p>
    <w:p>
      <w:pPr>
        <w:widowControl w:val="0"/>
        <w:numPr>
          <w:numId w:val="0"/>
        </w:numPr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 w:eastAsia="zh-CN"/>
        </w:rPr>
        <w:t>3.</w:t>
      </w:r>
      <w:r>
        <w:rPr>
          <w:kern w:val="2"/>
          <w:szCs w:val="24"/>
          <w:lang w:val="en-US"/>
        </w:rPr>
        <w:t>《民用建筑热工设计规范》GB50176</w:t>
      </w:r>
      <w:r>
        <w:rPr>
          <w:rFonts w:hint="eastAsia"/>
          <w:kern w:val="2"/>
          <w:szCs w:val="24"/>
          <w:lang w:val="en-US" w:eastAsia="zh-CN"/>
        </w:rPr>
        <w:t>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 w:eastAsia="zh-CN"/>
        </w:rPr>
        <w:t>4</w:t>
      </w:r>
      <w:r>
        <w:rPr>
          <w:kern w:val="2"/>
          <w:szCs w:val="24"/>
          <w:lang w:val="en-US"/>
        </w:rPr>
        <w:t>. 《建筑外门窗气密，水密，抗风压性能分级及检测方法》GB/T 7106-2008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957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630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95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1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94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密度ρ</w:t>
            </w: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比热容Cp</w:t>
            </w:r>
          </w:p>
        </w:tc>
        <w:tc>
          <w:tcPr>
            <w:tcW w:w="132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蒸汽渗透系数u</w:t>
            </w:r>
          </w:p>
        </w:tc>
        <w:tc>
          <w:tcPr>
            <w:tcW w:w="1692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95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1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94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kg/m</w:t>
            </w:r>
            <w:r>
              <w:rPr>
                <w:rFonts w:hint="eastAsia"/>
                <w:szCs w:val="22"/>
                <w:vertAlign w:val="superscript"/>
              </w:rPr>
              <w:t>3</w:t>
            </w: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J/(kg.K)</w:t>
            </w:r>
          </w:p>
        </w:tc>
        <w:tc>
          <w:tcPr>
            <w:tcW w:w="132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g/(m.h.kPa)</w:t>
            </w:r>
          </w:p>
        </w:tc>
        <w:tc>
          <w:tcPr>
            <w:tcW w:w="1692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0.930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11.3</w:t>
            </w:r>
            <w:r>
              <w:rPr>
                <w:rFonts w:hint="eastAsia"/>
                <w:szCs w:val="22"/>
                <w:lang w:val="en-US" w:eastAsia="zh-CN"/>
              </w:rPr>
              <w:t>06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1800.0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1050.0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0.0210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《民用建筑热工设计规范（GB50176-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sz w:val="18"/>
                <w:szCs w:val="18"/>
              </w:rPr>
              <w:t>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石灰砂浆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0.810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9.948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1600.0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1050.0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0.0443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来源：《民用建筑热工设计规范（GB50176-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sz w:val="18"/>
                <w:szCs w:val="18"/>
              </w:rPr>
              <w:t>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钢筋混凝土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1.740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17.060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2500.0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920.0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0.0158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来源：《民用建筑热工设计规范（GB50176-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sz w:val="18"/>
                <w:szCs w:val="18"/>
              </w:rPr>
              <w:t>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水泥聚苯保温板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0.030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2.288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450.0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1600.0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0.0855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1:6水泥膨胀珍珠岩找坡层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0.180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10.583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1200.0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0.0158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硬泡聚氨酯保温板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0.990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14.570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1685.0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1750.0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0.0158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trHeight w:val="716" w:hRule="atLeast"/>
        </w:trPr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SBS改性沥青卷材防水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0.170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3.302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600.0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1470.0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0.0243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蒸汽渗透系数没有给出，查找给定为0.0243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水泥砂浆找平层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0.010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48.0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1.4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0.0520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聚苯颗粒保温砂浆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0.060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0.950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230.0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900.0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0.0000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外表面积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2981.44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建筑体积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11908.3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体形系数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体形系数应符合表4.1.3的规定(s≤0.33)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6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南向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1013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21.230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21.84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北向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2006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25.200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57.60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44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东向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200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23.100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27.54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84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西向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09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5.940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14.740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40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在进行权衡判断时，窗墙面积比最大值不应超过表4.3.2-1的限值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南向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1013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21.230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21.84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北向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2006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25.200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57.60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44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东向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200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23.100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27.54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84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西向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09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5.940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14.740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40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在进行权衡判断时，窗墙面积比最大值不应超过表4.3.2-1的限值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天窗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屋顶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平屋面 </w:t>
      </w:r>
      <w:r>
        <w:rPr>
          <w:rFonts w:hint="eastAsia"/>
          <w:kern w:val="2"/>
          <w:szCs w:val="24"/>
        </w:rPr>
        <w:t>预制钢筋混凝土空心板</w:t>
      </w:r>
      <w:r>
        <w:rPr>
          <w:rFonts w:hint="eastAsia"/>
          <w:kern w:val="2"/>
          <w:szCs w:val="24"/>
          <w:lang w:val="en-US" w:eastAsia="zh-CN"/>
        </w:rPr>
        <w:t>200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石灰砂浆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0.810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9.948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0.101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硬泡聚氨酯保温板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100.000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SBS改性沥青卷材防水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0.170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3.302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303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1:6水泥膨胀珍珠岩找坡层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180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2.507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0.399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预制钢筋混凝土空心板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0.990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14.570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石灰砂浆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0.810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9.948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0.101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30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925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>
              <w:rPr>
                <w:rFonts w:hint="eastAsia"/>
                <w:szCs w:val="22"/>
                <w:lang w:val="en-US" w:eastAsia="zh-CN"/>
              </w:rPr>
              <w:t>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K值应当符合表4.2.1-1~4.2.1-5的要求(K≤0.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外墙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 w:eastAsia="zh-CN"/>
        </w:rPr>
        <w:t>钢筋</w:t>
      </w:r>
      <w:bookmarkStart w:id="71" w:name="_GoBack"/>
      <w:bookmarkEnd w:id="71"/>
      <w:r>
        <w:rPr>
          <w:kern w:val="2"/>
          <w:szCs w:val="24"/>
          <w:lang w:val="en-US"/>
        </w:rPr>
        <w:t>混凝土200+</w:t>
      </w:r>
      <w:r>
        <w:rPr>
          <w:rFonts w:hint="eastAsia"/>
          <w:kern w:val="2"/>
          <w:szCs w:val="24"/>
          <w:lang w:val="en-US"/>
        </w:rPr>
        <w:t>硬泡聚氨酯保温</w:t>
      </w:r>
      <w:r>
        <w:rPr>
          <w:kern w:val="2"/>
          <w:szCs w:val="24"/>
          <w:lang w:val="en-US"/>
        </w:rPr>
        <w:t>板</w:t>
      </w:r>
      <w:r>
        <w:rPr>
          <w:rFonts w:hint="eastAsia"/>
          <w:kern w:val="2"/>
          <w:szCs w:val="24"/>
          <w:lang w:val="en-US" w:eastAsia="zh-CN"/>
        </w:rPr>
        <w:t>25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硬泡聚氨酯保温板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0.0</w:t>
            </w:r>
            <w:r>
              <w:rPr>
                <w:rFonts w:hint="eastAsia"/>
                <w:szCs w:val="22"/>
                <w:lang w:val="en-US" w:eastAsia="zh-CN"/>
              </w:rPr>
              <w:t>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100.000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聚苯颗粒保温砂浆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0.060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0.950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1.053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钢筋混凝土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1.740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17.060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059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石灰砂浆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0.810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9.948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0.101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265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1.822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数据来源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D型-外贴保温板《12系列建筑标准设计图集DBJ03-22-2014》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>
      <w:pPr>
        <w:jc w:val="center"/>
        <w:rPr>
          <w:rFonts w:ascii="宋体" w:hAnsi="宋体"/>
          <w:sz w:val="18"/>
          <w:szCs w:val="18"/>
        </w:rPr>
      </w:pPr>
      <w:bookmarkStart w:id="23" w:name="严寒寒冷居建2018外墙K修正系数表"/>
      <w:r>
        <w:rPr>
          <w:rFonts w:hint="eastAsia" w:ascii="宋体" w:hAnsi="宋体"/>
          <w:sz w:val="18"/>
          <w:szCs w:val="18"/>
        </w:rPr>
        <w:t>表B.0.1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外墙</w:t>
      </w:r>
      <w:r>
        <w:rPr>
          <w:rFonts w:ascii="宋体" w:hAnsi="宋体"/>
          <w:sz w:val="18"/>
          <w:szCs w:val="18"/>
        </w:rPr>
        <w:t>平壁传热系数的修正系数</w:t>
      </w:r>
      <w:r>
        <w:rPr>
          <w:color w:val="000000"/>
          <w:sz w:val="24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外墙传热系数限值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  <w:vertAlign w:val="subscript"/>
              </w:rPr>
              <w:t>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[W/(m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 w:hAnsi="宋体"/>
                <w:szCs w:val="21"/>
              </w:rPr>
              <w:t>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保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 w:hAnsi="宋体"/>
                <w:spacing w:val="-12"/>
                <w:szCs w:val="21"/>
              </w:rPr>
              <w:t>凸</w:t>
            </w:r>
            <w:r>
              <w:rPr>
                <w:rFonts w:hint="eastAsia"/>
                <w:spacing w:val="-12"/>
                <w:szCs w:val="21"/>
              </w:rPr>
              <w:t xml:space="preserve">    </w:t>
            </w:r>
            <w:r>
              <w:rPr>
                <w:rFonts w:hint="eastAsia" w:hAnsi="宋体"/>
                <w:spacing w:val="-12"/>
                <w:szCs w:val="21"/>
              </w:rPr>
              <w:t>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0.60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3"/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混凝土剪力墙200+硬泡聚氨酯保温板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585.798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0.474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  <w:r>
              <w:rPr>
                <w:rFonts w:hint="eastAsia"/>
                <w:szCs w:val="22"/>
              </w:rPr>
              <w:t xml:space="preserve"> × 1.20 = 0.</w:t>
            </w:r>
            <w:r>
              <w:rPr>
                <w:rFonts w:hint="eastAsia"/>
                <w:szCs w:val="22"/>
                <w:lang w:val="en-US" w:eastAsia="zh-CN"/>
              </w:rPr>
              <w:t>66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  <w:r>
        <w:t>1.000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混凝土剪力墙200+硬泡聚氨酯保温板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725.56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0.711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  <w:r>
              <w:rPr>
                <w:rFonts w:hint="eastAsia"/>
                <w:szCs w:val="22"/>
              </w:rPr>
              <w:t xml:space="preserve"> × 1.20 = 0.</w:t>
            </w:r>
            <w:r>
              <w:rPr>
                <w:rFonts w:hint="eastAsia"/>
                <w:szCs w:val="22"/>
                <w:lang w:val="en-US" w:eastAsia="zh-CN"/>
              </w:rPr>
              <w:t>66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混凝土剪力墙200+硬泡聚氨酯保温板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394.551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0.542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  <w:r>
              <w:rPr>
                <w:rFonts w:hint="eastAsia"/>
                <w:szCs w:val="22"/>
              </w:rPr>
              <w:t xml:space="preserve"> × 1.20 = 0.</w:t>
            </w:r>
            <w:r>
              <w:rPr>
                <w:rFonts w:hint="eastAsia"/>
                <w:szCs w:val="22"/>
                <w:lang w:val="en-US" w:eastAsia="zh-CN"/>
              </w:rPr>
              <w:t>66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混凝土剪力墙200+硬泡聚氨酯保温板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498.85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0.832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  <w:r>
              <w:rPr>
                <w:rFonts w:hint="eastAsia"/>
                <w:szCs w:val="22"/>
              </w:rPr>
              <w:t xml:space="preserve"> × 1.20 = 0.</w:t>
            </w:r>
            <w:r>
              <w:rPr>
                <w:rFonts w:hint="eastAsia"/>
                <w:szCs w:val="22"/>
                <w:lang w:val="en-US" w:eastAsia="zh-CN"/>
              </w:rPr>
              <w:t>66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混凝土剪力墙200+硬泡聚氨酯保温板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2204.758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1.000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549</w:t>
            </w:r>
            <w:r>
              <w:rPr>
                <w:rFonts w:hint="eastAsia"/>
                <w:szCs w:val="22"/>
              </w:rPr>
              <w:t xml:space="preserve"> × 1.20 = 0.</w:t>
            </w:r>
            <w:r>
              <w:rPr>
                <w:rFonts w:hint="eastAsia"/>
                <w:szCs w:val="2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K值应当符合表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.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.1-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的要求(K≤0.</w:t>
            </w:r>
            <w:r>
              <w:rPr>
                <w:rFonts w:hint="eastAsia"/>
                <w:szCs w:val="22"/>
                <w:lang w:val="en-US" w:eastAsia="zh-CN"/>
              </w:rPr>
              <w:t>80</w:t>
            </w:r>
            <w:r>
              <w:rPr>
                <w:rFonts w:hint="eastAsia"/>
                <w:szCs w:val="22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638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挑空楼板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硬泡聚氨酯保温板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0.0</w:t>
            </w:r>
            <w:r>
              <w:rPr>
                <w:rFonts w:hint="eastAsia"/>
                <w:szCs w:val="22"/>
                <w:lang w:val="en-US" w:eastAsia="zh-CN"/>
              </w:rPr>
              <w:t>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100.000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水泥</w:t>
            </w:r>
            <w:r>
              <w:rPr>
                <w:rFonts w:hint="eastAsia"/>
                <w:szCs w:val="22"/>
              </w:rPr>
              <w:t>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预制钢筋混凝土空心板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0.990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14.570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水泥</w:t>
            </w:r>
            <w:r>
              <w:rPr>
                <w:rFonts w:hint="eastAsia"/>
                <w:szCs w:val="22"/>
              </w:rPr>
              <w:t>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1.813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551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986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986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K值应当符合K≤0.</w:t>
            </w:r>
            <w:r>
              <w:rPr>
                <w:rFonts w:hint="eastAsia"/>
                <w:szCs w:val="2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986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阳台门下部门芯板</w:t>
      </w:r>
    </w:p>
    <w:p>
      <w:pPr>
        <w:widowControl w:val="0"/>
        <w:jc w:val="both"/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</w:pPr>
      <w:r>
        <w:rPr>
          <w:kern w:val="2"/>
        </w:rPr>
        <w:t>非供暖地下室顶板</w:t>
      </w:r>
    </w:p>
    <w:p>
      <w:pPr>
        <w:widowControl w:val="0"/>
        <w:jc w:val="both"/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预制钢筋混凝土空心板</w:t>
      </w:r>
      <w:r>
        <w:rPr>
          <w:rFonts w:hint="eastAsia"/>
          <w:kern w:val="2"/>
          <w:szCs w:val="24"/>
          <w:lang w:val="en-US" w:eastAsia="zh-CN"/>
        </w:rPr>
        <w:t>19</w:t>
      </w:r>
      <w:r>
        <w:rPr>
          <w:kern w:val="2"/>
          <w:szCs w:val="24"/>
        </w:rPr>
        <w:t>0+</w:t>
      </w:r>
      <w:r>
        <w:rPr>
          <w:rFonts w:hint="eastAsia"/>
          <w:kern w:val="2"/>
          <w:szCs w:val="24"/>
        </w:rPr>
        <w:t>水泥砂浆</w:t>
      </w:r>
      <w:r>
        <w:rPr>
          <w:rFonts w:hint="eastAsia"/>
          <w:kern w:val="2"/>
          <w:szCs w:val="24"/>
          <w:lang w:val="en-US" w:eastAsia="zh-CN"/>
        </w:rPr>
        <w:t>2</w:t>
      </w:r>
      <w:r>
        <w:rPr>
          <w:kern w:val="2"/>
          <w:szCs w:val="24"/>
        </w:rPr>
        <w:t>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预制钢筋混凝土空心板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190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0.990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14.570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069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石灰砂浆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0.8</w:t>
            </w:r>
            <w:r>
              <w:rPr>
                <w:rFonts w:hint="eastAsia"/>
                <w:szCs w:val="22"/>
                <w:lang w:val="en-US" w:eastAsia="zh-CN"/>
              </w:rPr>
              <w:t>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9.948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  <w:lang w:val="en-US" w:eastAsia="zh-CN"/>
              </w:rPr>
              <w:t>.101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0.458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3.285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数据来源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A型-外贴保温板《12系列建筑标准设计图集DBJ03-22-2014》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K值应符合表4.2.2-1的要求(K≤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986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双层金属门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62.64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1.000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612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659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659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K值应符合表4.2.2-1的要求(K≤2.00)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659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外窗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50系列铝塑共挤平开窗+6中透光Low-E玻璃+9~12空气+6白玻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278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62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Style w:val="18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96"/>
        <w:gridCol w:w="975"/>
        <w:gridCol w:w="1995"/>
        <w:gridCol w:w="2025"/>
        <w:gridCol w:w="1012"/>
        <w:gridCol w:w="12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朝向</w:t>
            </w:r>
          </w:p>
        </w:tc>
        <w:tc>
          <w:tcPr>
            <w:tcW w:w="698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房间编号</w:t>
            </w:r>
          </w:p>
        </w:tc>
        <w:tc>
          <w:tcPr>
            <w:tcW w:w="525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窗构造</w:t>
            </w:r>
            <w:r>
              <w:rPr>
                <w:rFonts w:hint="eastAsia"/>
                <w:szCs w:val="22"/>
              </w:rPr>
              <w:br w:type="textWrapping"/>
            </w:r>
            <w:r>
              <w:rPr>
                <w:rFonts w:hint="eastAsia"/>
                <w:szCs w:val="22"/>
              </w:rPr>
              <w:t>编号</w:t>
            </w:r>
          </w:p>
        </w:tc>
        <w:tc>
          <w:tcPr>
            <w:tcW w:w="1075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</w:t>
            </w:r>
          </w:p>
        </w:tc>
        <w:tc>
          <w:tcPr>
            <w:tcW w:w="1091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K限值</w:t>
            </w:r>
          </w:p>
        </w:tc>
        <w:tc>
          <w:tcPr>
            <w:tcW w:w="545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窗墙比</w:t>
            </w:r>
          </w:p>
        </w:tc>
        <w:tc>
          <w:tcPr>
            <w:tcW w:w="646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南向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1001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0.33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1002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0.96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1013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0.97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2002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0.96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2004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0.25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2005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0.18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2007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0.95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3001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0.31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3002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0.96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3003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0.27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北向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0.20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1004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0.29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1005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1011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2006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0.44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2008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2010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0.09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2011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0.09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3004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0.32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3005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0.31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3006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0.28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3007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0.09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3008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3.0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0.06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东向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1061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1071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2001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2008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2009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2012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0.58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2049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0.55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2050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0.84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西向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zh-CN" w:eastAsia="en-US"/>
              </w:rPr>
              <w:t>2009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3.5</w:t>
            </w:r>
            <w:r>
              <w:rPr>
                <w:rFonts w:hint="eastAsia"/>
                <w:szCs w:val="22"/>
              </w:rPr>
              <w:t>00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40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3884" w:type="pct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《西安市居住建筑节能设计标准》 </w:t>
            </w:r>
            <w:r>
              <w:rPr>
                <w:rFonts w:hint="eastAsia"/>
                <w:szCs w:val="22"/>
              </w:rPr>
              <w:t>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3884" w:type="pct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K值应满足</w:t>
            </w:r>
            <w:r>
              <w:rPr>
                <w:rFonts w:hint="eastAsia"/>
                <w:color w:val="000000"/>
                <w:szCs w:val="22"/>
              </w:rP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3884" w:type="pct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外遮阳类型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07"/>
        <w:gridCol w:w="1347"/>
        <w:gridCol w:w="1220"/>
        <w:gridCol w:w="1080"/>
        <w:gridCol w:w="1094"/>
        <w:gridCol w:w="10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朝向</w:t>
            </w:r>
          </w:p>
        </w:tc>
        <w:tc>
          <w:tcPr>
            <w:tcW w:w="270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外窗（含透光幕墙面积m²）</w:t>
            </w:r>
          </w:p>
        </w:tc>
        <w:tc>
          <w:tcPr>
            <w:tcW w:w="134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可调节遮阳设施</w:t>
            </w:r>
          </w:p>
        </w:tc>
        <w:tc>
          <w:tcPr>
            <w:tcW w:w="122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遮阳设施应用面积（m²）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修正系数</w:t>
            </w:r>
          </w:p>
        </w:tc>
        <w:tc>
          <w:tcPr>
            <w:tcW w:w="109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遮阳设施面积（m²）</w:t>
            </w:r>
          </w:p>
        </w:tc>
        <w:tc>
          <w:tcPr>
            <w:tcW w:w="109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遮阳设施占比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南向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353.04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活动外遮阳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219.59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263.51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北向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186.53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0.00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东向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180.72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0.00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西向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83.97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—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夏热冬冷地区</w:t>
            </w:r>
            <w:r>
              <w:rPr>
                <w:rFonts w:hint="eastAsia"/>
                <w:szCs w:val="22"/>
              </w:rPr>
              <w:t>夏季外窗太阳得热系数不应大于表4.2.2-2的要求。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3"/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外窗太阳得热系数</w:t>
      </w:r>
    </w:p>
    <w:p>
      <w:pPr>
        <w:widowControl w:val="0"/>
        <w:jc w:val="both"/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凸窗透明部分</w:t>
      </w:r>
    </w:p>
    <w:p>
      <w:pPr>
        <w:widowControl w:val="0"/>
        <w:jc w:val="both"/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凸窗板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</w:pPr>
      <w:r>
        <w:rPr>
          <w:kern w:val="2"/>
        </w:rPr>
        <w:t>周边地面</w:t>
      </w:r>
    </w:p>
    <w:p>
      <w:pPr>
        <w:pStyle w:val="5"/>
        <w:widowControl w:val="0"/>
        <w:jc w:val="both"/>
        <w:rPr>
          <w:rFonts w:hint="default" w:cs="Arial"/>
          <w:kern w:val="2"/>
          <w:szCs w:val="24"/>
          <w:lang w:val="en-US" w:eastAsia="zh-CN"/>
        </w:rPr>
      </w:pPr>
      <w:r>
        <w:rPr>
          <w:rFonts w:hint="eastAsia" w:cs="Arial"/>
          <w:kern w:val="2"/>
          <w:szCs w:val="24"/>
          <w:lang w:val="en-US" w:eastAsia="zh-CN"/>
        </w:rPr>
        <w:t xml:space="preserve"> 钢筋混凝土120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1.740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17.060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059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0.310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3.221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非周边地面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钢筋混凝土</w:t>
      </w:r>
      <w:r>
        <w:rPr>
          <w:rFonts w:hint="eastAsia"/>
          <w:kern w:val="2"/>
          <w:szCs w:val="24"/>
          <w:lang w:val="en-US" w:eastAsia="zh-CN"/>
        </w:rPr>
        <w:t>120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11.306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088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1.740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17.060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059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0.310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保温材料层R</w:t>
            </w:r>
          </w:p>
        </w:tc>
        <w:tc>
          <w:tcPr>
            <w:tcW w:w="5985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0.059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</w:p>
        </w:tc>
        <w:tc>
          <w:tcPr>
            <w:tcW w:w="5985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3.221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地下墙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  <w:lang w:val="en-US" w:eastAsia="zh-CN"/>
        </w:rPr>
        <w:t>钢筋混凝土200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1.740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17.060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059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0.810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9.948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0.101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0.360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2.207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0.059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2.781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K</w:t>
            </w:r>
            <w:r>
              <w:rPr>
                <w:rFonts w:hint="eastAsia"/>
                <w:szCs w:val="22"/>
              </w:rPr>
              <w:t>值不应小于表4.2.1-1~4.2.1-5的限值(</w:t>
            </w:r>
            <w:r>
              <w:rPr>
                <w:rFonts w:hint="eastAsia"/>
                <w:szCs w:val="22"/>
                <w:lang w:val="en-US" w:eastAsia="zh-CN"/>
              </w:rPr>
              <w:t>k</w:t>
            </w:r>
            <w:r>
              <w:rPr>
                <w:rFonts w:hint="eastAsia"/>
                <w:szCs w:val="22"/>
              </w:rPr>
              <w:t>≥1.60)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98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变形缝构造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最不利气密性等级</w:t>
            </w:r>
          </w:p>
        </w:tc>
        <w:tc>
          <w:tcPr>
            <w:tcW w:w="7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外窗气密性措施</w:t>
            </w:r>
          </w:p>
        </w:tc>
        <w:tc>
          <w:tcPr>
            <w:tcW w:w="7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空气间层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7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第4.2.6条，分级与检测方法《建筑外门窗气密、水密、抗风压性能分级及检测方法》GB/T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7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外窗气密性不应低于《建筑外门窗气密、水密、抗风压性能分级及检测方法》GB/T 7106-2008的6级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7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封闭阳台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体形系数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开间窗墙比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可权衡判断窗墙面积比检查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天窗传热系数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无屋顶透光部分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天窗太阳得热系数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无屋顶透光部分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屋顶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外墙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阳台门下部门芯板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非供暖地下室顶板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分隔供暖与非供暖空间的隔墙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分隔供暖与非供暖空间的户门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外窗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凸窗透明部分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无凸窗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14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凸窗顶板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无凸窗顶板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凸窗底板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无凸窗底板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地下墙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外窗气密性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热工性能权衡判断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说明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本建筑按</w:t>
      </w:r>
      <w:r>
        <w:rPr>
          <w:rFonts w:hint="eastAsia"/>
          <w:lang w:val="en-US" w:eastAsia="zh-CN"/>
        </w:rPr>
        <w:t>公</w:t>
      </w:r>
      <w:r>
        <w:t>建</w:t>
      </w:r>
      <w:r>
        <w:rPr>
          <w:rFonts w:hint="eastAsia"/>
          <w:lang w:val="en-US" w:eastAsia="zh-CN"/>
        </w:rPr>
        <w:t>GB50189-2015夏热冬冷-甲类</w:t>
      </w:r>
      <w:r>
        <w:rPr>
          <w:kern w:val="2"/>
          <w:szCs w:val="24"/>
          <w:lang w:val="en-US"/>
        </w:rPr>
        <w:t>之规定进行强制性条文和必须满足条款的规定性指标检查，结果达标，按标准规定继续进行热工性能权衡判断。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综合权衡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计算条件</w:t>
      </w:r>
    </w:p>
    <w:p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24" w:name="设计建筑别名"/>
            <w:r>
              <w:rPr>
                <w:rFonts w:hint="eastAsia" w:hAnsi="宋体"/>
                <w:bCs/>
                <w:szCs w:val="21"/>
              </w:rPr>
              <w:t>设计建筑</w:t>
            </w:r>
            <w:bookmarkEnd w:id="24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25" w:name="参照建筑别名"/>
            <w:r>
              <w:rPr>
                <w:rFonts w:hint="eastAsia" w:hAnsi="宋体"/>
                <w:szCs w:val="21"/>
              </w:rPr>
              <w:t>参照建筑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bookmarkStart w:id="26" w:name="体形系数"/>
            <w:r>
              <w:rPr>
                <w:rFonts w:hint="eastAsia"/>
                <w:bCs/>
                <w:szCs w:val="21"/>
              </w:rPr>
              <w:t>0.2</w:t>
            </w:r>
            <w:bookmarkEnd w:id="26"/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bookmarkStart w:id="27" w:name="参照建筑体形系数"/>
            <w:r>
              <w:rPr>
                <w:rFonts w:hint="eastAsia"/>
                <w:bCs/>
                <w:szCs w:val="21"/>
              </w:rPr>
              <w:t>0.2</w:t>
            </w:r>
            <w:bookmarkEnd w:id="27"/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屋顶传热系数</w:t>
            </w:r>
            <w:r>
              <w:rPr>
                <w:rFonts w:hint="eastAsia"/>
                <w:szCs w:val="21"/>
              </w:rPr>
              <w:t>K [W/(m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28" w:name="屋顶K"/>
            <w:r>
              <w:rPr>
                <w:rFonts w:hint="eastAsia"/>
                <w:bCs/>
                <w:szCs w:val="21"/>
              </w:rPr>
              <w:t>0.</w:t>
            </w:r>
            <w:bookmarkEnd w:id="28"/>
            <w:r>
              <w:rPr>
                <w:rFonts w:hint="eastAsia"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29" w:name="参照建筑屋顶K"/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外墙（包括非透明幕墙）传热系数</w:t>
            </w:r>
            <w:r>
              <w:rPr>
                <w:rFonts w:hint="eastAsia"/>
                <w:szCs w:val="21"/>
              </w:rPr>
              <w:t>K [W/(m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30" w:name="外墙K"/>
            <w:r>
              <w:rPr>
                <w:rFonts w:hint="eastAsia"/>
                <w:bCs/>
                <w:szCs w:val="21"/>
              </w:rPr>
              <w:t>0.</w:t>
            </w:r>
            <w:bookmarkEnd w:id="30"/>
            <w:r>
              <w:rPr>
                <w:rFonts w:hint="eastAsia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房间天窗屋顶比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K [W/(m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1" w:name="天窗K"/>
            <w:r>
              <w:rPr>
                <w:rFonts w:hint="eastAsia"/>
                <w:bCs/>
                <w:szCs w:val="21"/>
              </w:rPr>
              <w:t>－</w:t>
            </w:r>
            <w:bookmarkEnd w:id="31"/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2" w:name="参照建筑天窗K"/>
            <w:r>
              <w:rPr>
                <w:rFonts w:hint="eastAsia"/>
                <w:bCs/>
                <w:szCs w:val="21"/>
              </w:rPr>
              <w:t>－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3" w:name="天窗SC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4" w:name="参照建筑天窗S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rFonts w:hint="eastAsia"/>
                <w:szCs w:val="21"/>
              </w:rPr>
              <w:t>K [W/(m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0.55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非供暖地下室顶板K [W/(m2·K)]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分隔供暖与非供暖空间的隔墙K [W/(m2·K)]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分隔供暖与非供暖空间的楼板K [W/(m2·K)]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5" w:name="采暖与非采暖楼板K"/>
            <w:bookmarkStart w:id="36" w:name="不采暖地上室上部地板K"/>
            <w:r>
              <w:rPr>
                <w:rFonts w:hint="eastAsia"/>
                <w:bCs/>
                <w:szCs w:val="21"/>
              </w:rPr>
              <w:t>－</w:t>
            </w:r>
            <w:bookmarkEnd w:id="35"/>
            <w:bookmarkEnd w:id="36"/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37" w:name="参照建筑不采暖地上室上部地板K"/>
            <w:bookmarkStart w:id="38" w:name="参照建筑采暖与非采暖楼板K"/>
            <w:r>
              <w:rPr>
                <w:rFonts w:hint="eastAsia"/>
                <w:bCs/>
                <w:szCs w:val="21"/>
              </w:rPr>
              <w:t>－</w:t>
            </w:r>
            <w:bookmarkEnd w:id="37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周边地面保温材料层热阻 R [(m2·K)/W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0.31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地下室外墙保温材料层热阻 R [(m2·K)/W</w:t>
            </w:r>
          </w:p>
        </w:tc>
        <w:tc>
          <w:tcPr>
            <w:tcW w:w="1524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  <w:tc>
          <w:tcPr>
            <w:tcW w:w="632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bookmarkStart w:id="39" w:name="窗墙比－南向"/>
            <w:bookmarkStart w:id="40" w:name="最不利开间窗墙比－南向"/>
            <w:r>
              <w:rPr>
                <w:rFonts w:hint="eastAsia"/>
                <w:bCs/>
                <w:szCs w:val="21"/>
              </w:rPr>
              <w:t>0.4</w:t>
            </w:r>
            <w:bookmarkEnd w:id="39"/>
            <w:bookmarkEnd w:id="40"/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9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1" w:name="最不利窗墙比房间外窗K－南向"/>
            <w:bookmarkStart w:id="42" w:name="外窗K－南向"/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00</w:t>
            </w:r>
            <w:bookmarkEnd w:id="41"/>
            <w:bookmarkEnd w:id="42"/>
          </w:p>
        </w:tc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3" w:name="外窗SHGC－夏季－南向"/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27</w:t>
            </w:r>
            <w:r>
              <w:rPr>
                <w:rFonts w:hint="eastAsia"/>
                <w:bCs/>
                <w:szCs w:val="21"/>
              </w:rPr>
              <w:t>8</w:t>
            </w:r>
            <w:bookmarkEnd w:id="43"/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4" w:name="外窗K一档限值－南向"/>
            <w:bookmarkStart w:id="45" w:name="参照建筑外窗K－南向"/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</w:t>
            </w:r>
            <w:bookmarkEnd w:id="44"/>
            <w:bookmarkEnd w:id="45"/>
          </w:p>
        </w:tc>
        <w:tc>
          <w:tcPr>
            <w:tcW w:w="70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6" w:name="外窗K二档限值－南向"/>
            <w:r>
              <w:rPr>
                <w:rFonts w:hint="eastAsia"/>
                <w:bCs/>
                <w:szCs w:val="21"/>
              </w:rPr>
              <w:t>2.00</w:t>
            </w:r>
            <w:bookmarkEnd w:id="46"/>
          </w:p>
        </w:tc>
        <w:tc>
          <w:tcPr>
            <w:tcW w:w="70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7" w:name="窗墙比－北向"/>
            <w:bookmarkStart w:id="48" w:name="最不利开间窗墙比－北向"/>
            <w:r>
              <w:rPr>
                <w:rFonts w:hint="eastAsia"/>
                <w:bCs/>
                <w:szCs w:val="21"/>
              </w:rPr>
              <w:t>0.27</w:t>
            </w:r>
            <w:bookmarkEnd w:id="47"/>
            <w:bookmarkEnd w:id="48"/>
          </w:p>
        </w:tc>
        <w:tc>
          <w:tcPr>
            <w:tcW w:w="39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49" w:name="最不利窗墙比房间外窗K－北向"/>
            <w:bookmarkStart w:id="50" w:name="外窗K－北向"/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00</w:t>
            </w:r>
            <w:bookmarkEnd w:id="49"/>
            <w:bookmarkEnd w:id="50"/>
          </w:p>
        </w:tc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51" w:name="外窗SHGC－夏季－北向"/>
            <w:r>
              <w:rPr>
                <w:rFonts w:hint="eastAsia"/>
                <w:bCs/>
                <w:szCs w:val="21"/>
              </w:rPr>
              <w:t>0.</w:t>
            </w:r>
            <w:bookmarkEnd w:id="51"/>
            <w:r>
              <w:rPr>
                <w:rFonts w:hint="eastAsia"/>
                <w:bCs/>
                <w:szCs w:val="21"/>
                <w:lang w:val="en-US" w:eastAsia="zh-CN"/>
              </w:rPr>
              <w:t>278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52" w:name="外窗K一档限值－北向"/>
            <w:bookmarkStart w:id="53" w:name="参照建筑外窗K－北向"/>
            <w:r>
              <w:rPr>
                <w:rFonts w:hint="eastAsia"/>
                <w:bCs/>
                <w:szCs w:val="21"/>
              </w:rPr>
              <w:t>2.20</w:t>
            </w:r>
            <w:bookmarkEnd w:id="52"/>
            <w:bookmarkEnd w:id="53"/>
          </w:p>
        </w:tc>
        <w:tc>
          <w:tcPr>
            <w:tcW w:w="70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54" w:name="外窗K二档限值－北向"/>
            <w:r>
              <w:rPr>
                <w:rFonts w:hint="eastAsia"/>
                <w:bCs/>
                <w:szCs w:val="21"/>
              </w:rPr>
              <w:t>2.00</w:t>
            </w:r>
            <w:bookmarkEnd w:id="54"/>
          </w:p>
        </w:tc>
        <w:tc>
          <w:tcPr>
            <w:tcW w:w="70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55" w:name="最不利开间窗墙比－东向"/>
            <w:bookmarkStart w:id="56" w:name="窗墙比－东向"/>
            <w:r>
              <w:rPr>
                <w:rFonts w:hint="eastAsia"/>
                <w:bCs/>
                <w:szCs w:val="21"/>
              </w:rPr>
              <w:t>0.27</w:t>
            </w:r>
            <w:bookmarkEnd w:id="55"/>
            <w:bookmarkEnd w:id="56"/>
          </w:p>
        </w:tc>
        <w:tc>
          <w:tcPr>
            <w:tcW w:w="39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57" w:name="外窗K－东向"/>
            <w:bookmarkStart w:id="58" w:name="最不利窗墙比房间外窗K－东向"/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00</w:t>
            </w:r>
            <w:bookmarkEnd w:id="57"/>
            <w:bookmarkEnd w:id="58"/>
          </w:p>
        </w:tc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59" w:name="外窗SHGC－夏季－东向"/>
            <w:r>
              <w:rPr>
                <w:rFonts w:hint="eastAsia"/>
                <w:bCs/>
                <w:szCs w:val="21"/>
              </w:rPr>
              <w:t>0.</w:t>
            </w:r>
            <w:bookmarkEnd w:id="59"/>
            <w:r>
              <w:rPr>
                <w:rFonts w:hint="eastAsia"/>
                <w:bCs/>
                <w:szCs w:val="21"/>
                <w:lang w:val="en-US" w:eastAsia="zh-CN"/>
              </w:rPr>
              <w:t>278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60" w:name="外窗K一档限值－东向"/>
            <w:bookmarkStart w:id="61" w:name="参照建筑外窗K－东向"/>
            <w:r>
              <w:rPr>
                <w:rFonts w:hint="eastAsia"/>
                <w:bCs/>
                <w:szCs w:val="21"/>
              </w:rPr>
              <w:t>2.20</w:t>
            </w:r>
            <w:bookmarkEnd w:id="60"/>
            <w:bookmarkEnd w:id="61"/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0.30&lt;窗墙比≤0.40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62" w:name="外窗K二档限值－东向"/>
            <w:r>
              <w:rPr>
                <w:rFonts w:hint="eastAsia"/>
                <w:bCs/>
                <w:szCs w:val="21"/>
              </w:rPr>
              <w:t>2.00</w:t>
            </w:r>
            <w:bookmarkEnd w:id="62"/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63" w:name="窗墙比－西向"/>
            <w:bookmarkStart w:id="64" w:name="最不利开间窗墙比－西向"/>
            <w:r>
              <w:rPr>
                <w:rFonts w:hint="eastAsia"/>
                <w:bCs/>
                <w:szCs w:val="21"/>
              </w:rPr>
              <w:t>0.27</w:t>
            </w:r>
            <w:bookmarkEnd w:id="63"/>
            <w:bookmarkEnd w:id="64"/>
          </w:p>
        </w:tc>
        <w:tc>
          <w:tcPr>
            <w:tcW w:w="39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65" w:name="最不利窗墙比房间外窗K－西向"/>
            <w:bookmarkStart w:id="66" w:name="外窗K－西向"/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00</w:t>
            </w:r>
            <w:bookmarkEnd w:id="65"/>
            <w:bookmarkEnd w:id="66"/>
          </w:p>
        </w:tc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67" w:name="外窗SHGC－夏季－西向"/>
            <w:r>
              <w:rPr>
                <w:rFonts w:hint="eastAsia"/>
                <w:bCs/>
                <w:szCs w:val="21"/>
              </w:rPr>
              <w:t>0.</w:t>
            </w:r>
            <w:bookmarkEnd w:id="67"/>
            <w:r>
              <w:rPr>
                <w:rFonts w:hint="eastAsia"/>
                <w:bCs/>
                <w:szCs w:val="21"/>
                <w:lang w:val="en-US" w:eastAsia="zh-CN"/>
              </w:rPr>
              <w:t>113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68" w:name="外窗K一档限值－西向"/>
            <w:bookmarkStart w:id="69" w:name="参照建筑外窗K－西向"/>
            <w:r>
              <w:rPr>
                <w:rFonts w:hint="eastAsia"/>
                <w:bCs/>
                <w:szCs w:val="21"/>
              </w:rPr>
              <w:t>2.20</w:t>
            </w:r>
            <w:bookmarkEnd w:id="68"/>
            <w:bookmarkEnd w:id="69"/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0.30&lt;窗墙比≤0.40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bookmarkStart w:id="70" w:name="外窗K二档限值－西向"/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</w:t>
            </w:r>
            <w:bookmarkEnd w:id="70"/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  <w:lang w:val="en-US" w:eastAsia="zh-CN"/>
              </w:rPr>
              <w:t>72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综合权衡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供暖能耗(kWh/㎡)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19.14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耗热量(kWh/㎡)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37.89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公</w:t>
            </w:r>
            <w:r>
              <w:rPr>
                <w:rFonts w:hint="eastAsia"/>
                <w:szCs w:val="22"/>
              </w:rPr>
              <w:t>建</w:t>
            </w:r>
            <w:r>
              <w:rPr>
                <w:rFonts w:hint="eastAsia"/>
                <w:szCs w:val="22"/>
                <w:lang w:val="en-US" w:eastAsia="zh-CN"/>
              </w:rPr>
              <w:t xml:space="preserve">GB50189-2015夏热冬冷-甲类 </w:t>
            </w:r>
            <w:r>
              <w:rPr>
                <w:rFonts w:hint="eastAsia"/>
                <w:szCs w:val="22"/>
              </w:rPr>
              <w:t>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设计建筑的供暖能耗不大于参照建筑的供暖能耗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59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强制窗墙比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屋顶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地下墙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外墙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外窗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阳台门下部门芯板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非供暖地下室顶板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分隔供暖与非供暖空间的隔墙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分隔供暖与非供暖空间的户门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综合权衡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  <w:tc>
          <w:tcPr>
            <w:tcW w:w="4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pict>
        <v:shape id="_x0000_i1025" o:spt="75" type="#_x0000_t75" style="height:13pt;width:67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99B9E"/>
    <w:multiLevelType w:val="singleLevel"/>
    <w:tmpl w:val="F5499B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5NTZjNTU1ZGM2OGJhNGFiMjRjYWQwYjYzOWMyZDIifQ=="/>
  </w:docVars>
  <w:rsids>
    <w:rsidRoot w:val="006B07F4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363BC1"/>
    <w:rsid w:val="003D6F46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07F4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73D16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337BF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05DF009E"/>
    <w:rsid w:val="06732DD2"/>
    <w:rsid w:val="071B47A9"/>
    <w:rsid w:val="097F728F"/>
    <w:rsid w:val="0ACF434F"/>
    <w:rsid w:val="0D1129FD"/>
    <w:rsid w:val="0DBF5665"/>
    <w:rsid w:val="0FB26719"/>
    <w:rsid w:val="110106AC"/>
    <w:rsid w:val="141C0605"/>
    <w:rsid w:val="165C73DE"/>
    <w:rsid w:val="17494692"/>
    <w:rsid w:val="187C78C4"/>
    <w:rsid w:val="202913EB"/>
    <w:rsid w:val="21673E25"/>
    <w:rsid w:val="22477195"/>
    <w:rsid w:val="230E380E"/>
    <w:rsid w:val="234B0398"/>
    <w:rsid w:val="241C01AD"/>
    <w:rsid w:val="24A34895"/>
    <w:rsid w:val="271F003B"/>
    <w:rsid w:val="296714B7"/>
    <w:rsid w:val="2C2E639B"/>
    <w:rsid w:val="2D0F08AF"/>
    <w:rsid w:val="2D68055C"/>
    <w:rsid w:val="2D6E013E"/>
    <w:rsid w:val="2D772AA6"/>
    <w:rsid w:val="2FE3015E"/>
    <w:rsid w:val="308675C7"/>
    <w:rsid w:val="30B9568E"/>
    <w:rsid w:val="311E0784"/>
    <w:rsid w:val="344A6670"/>
    <w:rsid w:val="36DB3D89"/>
    <w:rsid w:val="37FB07C3"/>
    <w:rsid w:val="3D7B3D3F"/>
    <w:rsid w:val="3DF617CA"/>
    <w:rsid w:val="3F756F47"/>
    <w:rsid w:val="41717932"/>
    <w:rsid w:val="42660B19"/>
    <w:rsid w:val="440E49EF"/>
    <w:rsid w:val="445E38A7"/>
    <w:rsid w:val="455D2986"/>
    <w:rsid w:val="4B26504F"/>
    <w:rsid w:val="4B5D2CD5"/>
    <w:rsid w:val="4B9D30D2"/>
    <w:rsid w:val="4E453CD9"/>
    <w:rsid w:val="4ED57B6A"/>
    <w:rsid w:val="4F232E9B"/>
    <w:rsid w:val="5138052B"/>
    <w:rsid w:val="513C39C1"/>
    <w:rsid w:val="51F31C9E"/>
    <w:rsid w:val="534A7FE3"/>
    <w:rsid w:val="5422675A"/>
    <w:rsid w:val="5A763A35"/>
    <w:rsid w:val="5AAE0E58"/>
    <w:rsid w:val="5B7A193A"/>
    <w:rsid w:val="5BD7526E"/>
    <w:rsid w:val="5D217368"/>
    <w:rsid w:val="5D92680F"/>
    <w:rsid w:val="5DFB43B4"/>
    <w:rsid w:val="5E802B0B"/>
    <w:rsid w:val="5F185286"/>
    <w:rsid w:val="61355E2F"/>
    <w:rsid w:val="652266CA"/>
    <w:rsid w:val="652D581A"/>
    <w:rsid w:val="656B2854"/>
    <w:rsid w:val="692A1FF1"/>
    <w:rsid w:val="6AB73B1D"/>
    <w:rsid w:val="754206C3"/>
    <w:rsid w:val="755328D0"/>
    <w:rsid w:val="7769462C"/>
    <w:rsid w:val="78B418D7"/>
    <w:rsid w:val="7B4C7A70"/>
    <w:rsid w:val="7F1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2"/>
      <w:szCs w:val="22"/>
      <w:lang w:val="zh-CN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Company>ths</Company>
  <Pages>12</Pages>
  <Words>4161</Words>
  <Characters>6949</Characters>
  <Lines>98</Lines>
  <Paragraphs>27</Paragraphs>
  <TotalTime>8</TotalTime>
  <ScaleCrop>false</ScaleCrop>
  <LinksUpToDate>false</LinksUpToDate>
  <CharactersWithSpaces>7105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2020-12-15T03:04:00Z</dcterms:created>
  <dc:creator>hus</dc:creator>
  <cp:lastModifiedBy>清风</cp:lastModifiedBy>
  <cp:lastPrinted>2411-12-31T16:00:00Z</cp:lastPrinted>
  <dcterms:modified xsi:type="dcterms:W3CDTF">2023-03-04T07:11:25Z</dcterms:modified>
  <dc:title>建筑节能设计报告书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7961E8844BAF4AC5BCD577706D062005</vt:lpwstr>
  </property>
</Properties>
</file>