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432ED">
      <w:pPr>
        <w:spacing w:before="1540" w:after="240"/>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11.6pt;height:59.4pt;mso-wrap-style:square;mso-position-horizontal-relative:page;mso-position-vertical-relative:page">
            <v:imagedata r:id="rId7" o:title=""/>
          </v:shape>
        </w:pict>
      </w:r>
    </w:p>
    <w:p w:rsidR="00000000" w:rsidRDefault="007432ED">
      <w:pPr>
        <w:pBdr>
          <w:top w:val="single" w:sz="6" w:space="0" w:color="auto"/>
        </w:pBdr>
        <w:jc w:val="center"/>
        <w:rPr>
          <w:rFonts w:ascii="微软雅黑" w:eastAsia="微软雅黑" w:hAnsi="微软雅黑"/>
          <w:b/>
          <w:sz w:val="52"/>
        </w:rPr>
      </w:pPr>
      <w:r>
        <w:rPr>
          <w:rFonts w:ascii="微软雅黑" w:eastAsia="微软雅黑" w:hAnsi="微软雅黑" w:hint="eastAsia"/>
          <w:b/>
          <w:sz w:val="52"/>
        </w:rPr>
        <w:t>绿色建筑室内天然采光与眩光</w:t>
      </w:r>
    </w:p>
    <w:p w:rsidR="00000000" w:rsidRDefault="007432ED">
      <w:pPr>
        <w:pBdr>
          <w:bottom w:val="single" w:sz="6" w:space="0" w:color="auto"/>
        </w:pBdr>
        <w:jc w:val="center"/>
        <w:rPr>
          <w:rFonts w:ascii="微软雅黑" w:eastAsia="微软雅黑" w:hAnsi="微软雅黑"/>
          <w:b/>
          <w:sz w:val="52"/>
        </w:rPr>
      </w:pPr>
      <w:r>
        <w:rPr>
          <w:rFonts w:ascii="微软雅黑" w:eastAsia="微软雅黑" w:hAnsi="微软雅黑" w:hint="eastAsia"/>
          <w:b/>
          <w:sz w:val="52"/>
        </w:rPr>
        <w:t>计算分析报告</w:t>
      </w:r>
    </w:p>
    <w:p w:rsidR="00000000" w:rsidRDefault="007432ED">
      <w:pPr>
        <w:spacing w:before="480"/>
        <w:jc w:val="center"/>
      </w:pPr>
      <w:r>
        <w:pict>
          <v:shape id="图片 2" o:spid="_x0000_i1026" type="#_x0000_t75" style="width:60pt;height:37.8pt;mso-wrap-style:square;mso-position-horizontal-relative:page;mso-position-vertical-relative:page">
            <v:imagedata r:id="rId8" o:title=""/>
          </v:shape>
        </w:pict>
      </w:r>
    </w:p>
    <w:p w:rsidR="00000000" w:rsidRDefault="007432ED">
      <w:pPr>
        <w:spacing w:before="480"/>
        <w:jc w:val="center"/>
        <w:sectPr w:rsidR="00000000">
          <w:pgSz w:w="11905" w:h="16837"/>
          <w:pgMar w:top="1440" w:right="1800" w:bottom="1440" w:left="1800" w:header="720" w:footer="720" w:gutter="0"/>
          <w:pgNumType w:start="1"/>
          <w:cols w:space="720"/>
        </w:sectPr>
      </w:pPr>
    </w:p>
    <w:p w:rsidR="00000000" w:rsidRDefault="007432ED">
      <w:pPr>
        <w:pStyle w:val="1"/>
        <w:spacing w:before="300" w:after="300"/>
        <w:jc w:val="center"/>
        <w:rPr>
          <w:rFonts w:ascii="黑体" w:eastAsia="黑体" w:hAnsi="黑体"/>
          <w:b/>
          <w:spacing w:val="20"/>
          <w:sz w:val="32"/>
        </w:rPr>
      </w:pPr>
      <w:r>
        <w:rPr>
          <w:rFonts w:ascii="黑体" w:eastAsia="黑体" w:hAnsi="黑体" w:hint="eastAsia"/>
          <w:b/>
          <w:spacing w:val="20"/>
          <w:sz w:val="32"/>
        </w:rPr>
        <w:lastRenderedPageBreak/>
        <w:t>绿色建筑室内天然采光与眩光计算分析报告</w:t>
      </w:r>
    </w:p>
    <w:p w:rsidR="00000000" w:rsidRDefault="007432ED">
      <w:pPr>
        <w:spacing w:before="20" w:after="20"/>
        <w:jc w:val="both"/>
        <w:rPr>
          <w:rFonts w:ascii="微软雅黑" w:eastAsia="微软雅黑" w:hAnsi="微软雅黑"/>
          <w:spacing w:val="20"/>
          <w:sz w:val="22"/>
        </w:rPr>
      </w:pPr>
      <w:r>
        <w:rPr>
          <w:rFonts w:ascii="微软雅黑" w:eastAsia="微软雅黑" w:hAnsi="微软雅黑" w:hint="eastAsia"/>
          <w:b/>
          <w:spacing w:val="20"/>
          <w:sz w:val="22"/>
        </w:rPr>
        <w:t>项目名称：</w:t>
      </w:r>
      <w:r>
        <w:rPr>
          <w:rFonts w:ascii="微软雅黑" w:eastAsia="微软雅黑" w:hAnsi="微软雅黑" w:hint="eastAsia"/>
          <w:spacing w:val="20"/>
          <w:sz w:val="22"/>
        </w:rPr>
        <w:t>高校研究生活动中心</w:t>
      </w:r>
    </w:p>
    <w:p w:rsidR="00000000" w:rsidRDefault="007432ED">
      <w:pPr>
        <w:spacing w:before="20" w:after="20"/>
        <w:jc w:val="both"/>
        <w:rPr>
          <w:rFonts w:ascii="微软雅黑" w:eastAsia="微软雅黑" w:hAnsi="微软雅黑"/>
          <w:spacing w:val="20"/>
          <w:sz w:val="22"/>
        </w:rPr>
      </w:pPr>
      <w:r>
        <w:rPr>
          <w:rFonts w:ascii="微软雅黑" w:eastAsia="微软雅黑" w:hAnsi="微软雅黑" w:hint="eastAsia"/>
          <w:b/>
          <w:spacing w:val="20"/>
          <w:sz w:val="22"/>
        </w:rPr>
        <w:t>项目地址：江西省南昌市</w:t>
      </w:r>
    </w:p>
    <w:p w:rsidR="00000000" w:rsidRDefault="007432ED">
      <w:pPr>
        <w:spacing w:before="20" w:after="20"/>
        <w:jc w:val="both"/>
        <w:rPr>
          <w:rFonts w:ascii="微软雅黑" w:eastAsia="微软雅黑" w:hAnsi="微软雅黑"/>
          <w:spacing w:val="20"/>
          <w:sz w:val="22"/>
        </w:rPr>
      </w:pPr>
      <w:r>
        <w:rPr>
          <w:rFonts w:ascii="微软雅黑" w:eastAsia="微软雅黑" w:hAnsi="微软雅黑" w:hint="eastAsia"/>
          <w:b/>
          <w:spacing w:val="20"/>
          <w:sz w:val="22"/>
        </w:rPr>
        <w:t>建设单位：</w:t>
      </w:r>
    </w:p>
    <w:p w:rsidR="00000000" w:rsidRDefault="007432ED">
      <w:pPr>
        <w:spacing w:before="20" w:after="20"/>
        <w:jc w:val="both"/>
        <w:rPr>
          <w:rFonts w:ascii="微软雅黑" w:eastAsia="微软雅黑" w:hAnsi="微软雅黑"/>
          <w:spacing w:val="20"/>
          <w:sz w:val="22"/>
        </w:rPr>
      </w:pPr>
      <w:r>
        <w:rPr>
          <w:rFonts w:ascii="微软雅黑" w:eastAsia="微软雅黑" w:hAnsi="微软雅黑" w:hint="eastAsia"/>
          <w:b/>
          <w:spacing w:val="20"/>
          <w:sz w:val="22"/>
        </w:rPr>
        <w:t>设计单位：</w:t>
      </w:r>
    </w:p>
    <w:p w:rsidR="00000000" w:rsidRDefault="007432ED">
      <w:pPr>
        <w:spacing w:before="20" w:after="20"/>
        <w:jc w:val="both"/>
        <w:rPr>
          <w:rFonts w:ascii="微软雅黑" w:eastAsia="微软雅黑" w:hAnsi="微软雅黑"/>
          <w:spacing w:val="20"/>
          <w:sz w:val="22"/>
        </w:rPr>
      </w:pPr>
      <w:r>
        <w:rPr>
          <w:rFonts w:ascii="微软雅黑" w:eastAsia="微软雅黑" w:hAnsi="微软雅黑" w:hint="eastAsia"/>
          <w:b/>
          <w:spacing w:val="20"/>
          <w:sz w:val="22"/>
        </w:rPr>
        <w:t>施工单位：</w:t>
      </w:r>
    </w:p>
    <w:p w:rsidR="00000000" w:rsidRDefault="007432ED">
      <w:pPr>
        <w:pStyle w:val="1"/>
        <w:spacing w:before="200" w:after="200"/>
        <w:jc w:val="both"/>
        <w:rPr>
          <w:rFonts w:ascii="华文中宋" w:eastAsia="华文中宋" w:hAnsi="华文中宋"/>
          <w:b/>
          <w:spacing w:val="20"/>
        </w:rPr>
      </w:pPr>
      <w:r>
        <w:rPr>
          <w:rFonts w:ascii="华文中宋" w:eastAsia="华文中宋" w:hAnsi="华文中宋" w:hint="eastAsia"/>
          <w:b/>
          <w:spacing w:val="20"/>
        </w:rPr>
        <w:t>规范标准参考依据：</w:t>
      </w:r>
    </w:p>
    <w:p w:rsidR="00000000" w:rsidRDefault="007432ED">
      <w:pPr>
        <w:spacing w:before="20" w:after="20"/>
        <w:jc w:val="both"/>
        <w:rPr>
          <w:rFonts w:ascii="华文中宋" w:eastAsia="华文中宋" w:hAnsi="华文中宋"/>
          <w:spacing w:val="20"/>
          <w:sz w:val="21"/>
        </w:rPr>
      </w:pPr>
      <w:r>
        <w:rPr>
          <w:rFonts w:ascii="华文中宋" w:eastAsia="华文中宋" w:hAnsi="华文中宋"/>
          <w:spacing w:val="20"/>
          <w:sz w:val="21"/>
        </w:rPr>
        <w:t>1</w:t>
      </w:r>
      <w:r>
        <w:rPr>
          <w:rFonts w:ascii="华文中宋" w:eastAsia="华文中宋" w:hAnsi="华文中宋" w:hint="eastAsia"/>
          <w:spacing w:val="20"/>
          <w:sz w:val="21"/>
        </w:rPr>
        <w:t>、《建</w:t>
      </w:r>
      <w:r>
        <w:rPr>
          <w:rFonts w:ascii="华文中宋" w:eastAsia="华文中宋" w:hAnsi="华文中宋" w:hint="eastAsia"/>
          <w:spacing w:val="20"/>
          <w:sz w:val="21"/>
        </w:rPr>
        <w:t>筑采光设计标准》</w:t>
      </w:r>
      <w:r>
        <w:rPr>
          <w:rFonts w:ascii="华文中宋" w:eastAsia="华文中宋" w:hAnsi="华文中宋"/>
          <w:spacing w:val="20"/>
          <w:sz w:val="21"/>
        </w:rPr>
        <w:t>GB 50033-2013</w:t>
      </w:r>
    </w:p>
    <w:p w:rsidR="00000000" w:rsidRDefault="007432ED">
      <w:pPr>
        <w:spacing w:before="20" w:after="20"/>
        <w:jc w:val="both"/>
        <w:rPr>
          <w:rFonts w:ascii="华文中宋" w:eastAsia="华文中宋" w:hAnsi="华文中宋"/>
          <w:spacing w:val="20"/>
          <w:sz w:val="21"/>
        </w:rPr>
      </w:pPr>
      <w:r>
        <w:rPr>
          <w:rFonts w:ascii="华文中宋" w:eastAsia="华文中宋" w:hAnsi="华文中宋"/>
          <w:spacing w:val="20"/>
          <w:sz w:val="21"/>
        </w:rPr>
        <w:t>2</w:t>
      </w:r>
      <w:r>
        <w:rPr>
          <w:rFonts w:ascii="华文中宋" w:eastAsia="华文中宋" w:hAnsi="华文中宋" w:hint="eastAsia"/>
          <w:spacing w:val="20"/>
          <w:sz w:val="21"/>
        </w:rPr>
        <w:t>、《绿色建筑评价标准》</w:t>
      </w:r>
      <w:r>
        <w:rPr>
          <w:rFonts w:ascii="华文中宋" w:eastAsia="华文中宋" w:hAnsi="华文中宋"/>
          <w:spacing w:val="20"/>
          <w:sz w:val="21"/>
        </w:rPr>
        <w:t>GB/T 50378-2019</w:t>
      </w:r>
    </w:p>
    <w:p w:rsidR="00000000" w:rsidRDefault="007432ED">
      <w:pPr>
        <w:spacing w:before="20" w:after="20"/>
        <w:jc w:val="both"/>
        <w:rPr>
          <w:rFonts w:ascii="华文中宋" w:eastAsia="华文中宋" w:hAnsi="华文中宋"/>
          <w:spacing w:val="20"/>
          <w:sz w:val="21"/>
        </w:rPr>
      </w:pPr>
      <w:r>
        <w:rPr>
          <w:rFonts w:ascii="华文中宋" w:eastAsia="华文中宋" w:hAnsi="华文中宋"/>
          <w:spacing w:val="20"/>
          <w:sz w:val="21"/>
        </w:rPr>
        <w:t>3</w:t>
      </w:r>
      <w:r>
        <w:rPr>
          <w:rFonts w:ascii="华文中宋" w:eastAsia="华文中宋" w:hAnsi="华文中宋" w:hint="eastAsia"/>
          <w:spacing w:val="20"/>
          <w:sz w:val="21"/>
        </w:rPr>
        <w:t>、《民用建筑绿色性能计算标准》</w:t>
      </w:r>
      <w:r>
        <w:rPr>
          <w:rFonts w:ascii="华文中宋" w:eastAsia="华文中宋" w:hAnsi="华文中宋"/>
          <w:spacing w:val="20"/>
          <w:sz w:val="21"/>
        </w:rPr>
        <w:t>JGJ/T 449</w:t>
      </w:r>
    </w:p>
    <w:p w:rsidR="00000000" w:rsidRDefault="007432ED">
      <w:pPr>
        <w:spacing w:before="20" w:after="20"/>
        <w:jc w:val="both"/>
        <w:rPr>
          <w:rFonts w:ascii="华文中宋" w:eastAsia="华文中宋" w:hAnsi="华文中宋"/>
          <w:spacing w:val="20"/>
          <w:sz w:val="21"/>
        </w:rPr>
      </w:pPr>
      <w:r>
        <w:rPr>
          <w:rFonts w:ascii="华文中宋" w:eastAsia="华文中宋" w:hAnsi="华文中宋"/>
          <w:spacing w:val="20"/>
          <w:sz w:val="21"/>
        </w:rPr>
        <w:t>4</w:t>
      </w:r>
      <w:r>
        <w:rPr>
          <w:rFonts w:ascii="华文中宋" w:eastAsia="华文中宋" w:hAnsi="华文中宋" w:hint="eastAsia"/>
          <w:spacing w:val="20"/>
          <w:sz w:val="21"/>
        </w:rPr>
        <w:t>、《城市居住区规划设计规范》</w:t>
      </w:r>
      <w:r>
        <w:rPr>
          <w:rFonts w:ascii="华文中宋" w:eastAsia="华文中宋" w:hAnsi="华文中宋"/>
          <w:spacing w:val="20"/>
          <w:sz w:val="21"/>
        </w:rPr>
        <w:t>GB 50180</w:t>
      </w:r>
    </w:p>
    <w:p w:rsidR="00000000" w:rsidRDefault="007432ED">
      <w:pPr>
        <w:spacing w:before="20" w:after="20"/>
        <w:jc w:val="both"/>
        <w:rPr>
          <w:rFonts w:ascii="华文中宋" w:eastAsia="华文中宋" w:hAnsi="华文中宋"/>
          <w:spacing w:val="20"/>
          <w:sz w:val="21"/>
        </w:rPr>
      </w:pPr>
      <w:r>
        <w:rPr>
          <w:rFonts w:ascii="华文中宋" w:eastAsia="华文中宋" w:hAnsi="华文中宋"/>
          <w:spacing w:val="20"/>
          <w:sz w:val="21"/>
        </w:rPr>
        <w:t>5</w:t>
      </w:r>
      <w:r>
        <w:rPr>
          <w:rFonts w:ascii="华文中宋" w:eastAsia="华文中宋" w:hAnsi="华文中宋" w:hint="eastAsia"/>
          <w:spacing w:val="20"/>
          <w:sz w:val="21"/>
        </w:rPr>
        <w:t>、《绿色建筑评价技术细则</w:t>
      </w:r>
      <w:r>
        <w:rPr>
          <w:rFonts w:ascii="华文中宋" w:eastAsia="华文中宋" w:hAnsi="华文中宋"/>
          <w:spacing w:val="20"/>
          <w:sz w:val="21"/>
        </w:rPr>
        <w:t>2019</w:t>
      </w:r>
      <w:r>
        <w:rPr>
          <w:rFonts w:ascii="华文中宋" w:eastAsia="华文中宋" w:hAnsi="华文中宋" w:hint="eastAsia"/>
          <w:spacing w:val="20"/>
          <w:sz w:val="21"/>
        </w:rPr>
        <w:t>》</w:t>
      </w:r>
    </w:p>
    <w:p w:rsidR="00000000" w:rsidRDefault="007432ED">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一、建筑概况</w:t>
      </w:r>
    </w:p>
    <w:p w:rsidR="00000000" w:rsidRDefault="007432ED">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1.1 </w:t>
      </w:r>
      <w:r>
        <w:rPr>
          <w:rFonts w:ascii="微软雅黑" w:eastAsia="微软雅黑" w:hAnsi="微软雅黑" w:hint="eastAsia"/>
          <w:b/>
          <w:spacing w:val="20"/>
        </w:rPr>
        <w:t>基本信息</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城市：南昌</w:t>
      </w:r>
      <w:r>
        <w:rPr>
          <w:rFonts w:ascii="微软雅黑" w:eastAsia="微软雅黑" w:hAnsi="微软雅黑"/>
          <w:sz w:val="21"/>
        </w:rPr>
        <w:t>(</w:t>
      </w:r>
      <w:r>
        <w:rPr>
          <w:rFonts w:ascii="微软雅黑" w:eastAsia="微软雅黑" w:hAnsi="微软雅黑" w:hint="eastAsia"/>
          <w:sz w:val="21"/>
        </w:rPr>
        <w:t>北纬</w:t>
      </w:r>
      <w:r>
        <w:rPr>
          <w:rFonts w:ascii="微软雅黑" w:eastAsia="微软雅黑" w:hAnsi="微软雅黑"/>
          <w:sz w:val="21"/>
        </w:rPr>
        <w:t>=28.60</w:t>
      </w:r>
      <w:r>
        <w:rPr>
          <w:rFonts w:ascii="微软雅黑" w:eastAsia="微软雅黑" w:hAnsi="微软雅黑" w:hint="eastAsia"/>
          <w:sz w:val="21"/>
        </w:rPr>
        <w:t>°</w:t>
      </w:r>
      <w:r>
        <w:rPr>
          <w:rFonts w:ascii="微软雅黑" w:eastAsia="微软雅黑" w:hAnsi="微软雅黑"/>
          <w:sz w:val="21"/>
        </w:rPr>
        <w:t xml:space="preserve">, </w:t>
      </w:r>
      <w:r>
        <w:rPr>
          <w:rFonts w:ascii="微软雅黑" w:eastAsia="微软雅黑" w:hAnsi="微软雅黑" w:hint="eastAsia"/>
          <w:sz w:val="21"/>
        </w:rPr>
        <w:t>东经</w:t>
      </w:r>
      <w:r>
        <w:rPr>
          <w:rFonts w:ascii="微软雅黑" w:eastAsia="微软雅黑" w:hAnsi="微软雅黑"/>
          <w:sz w:val="21"/>
        </w:rPr>
        <w:t>=115.90</w:t>
      </w:r>
      <w:r>
        <w:rPr>
          <w:rFonts w:ascii="微软雅黑" w:eastAsia="微软雅黑" w:hAnsi="微软雅黑" w:hint="eastAsia"/>
          <w:sz w:val="21"/>
        </w:rPr>
        <w:t>°</w:t>
      </w:r>
      <w:r>
        <w:rPr>
          <w:rFonts w:ascii="微软雅黑" w:eastAsia="微软雅黑" w:hAnsi="微软雅黑"/>
          <w:sz w:val="21"/>
        </w:rPr>
        <w:t>)</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光气候分区：</w:t>
      </w:r>
      <w:r>
        <w:rPr>
          <w:rFonts w:ascii="微软雅黑" w:eastAsia="微软雅黑" w:hAnsi="微软雅黑"/>
          <w:sz w:val="21"/>
        </w:rPr>
        <w:t>IV</w:t>
      </w:r>
      <w:r>
        <w:rPr>
          <w:rFonts w:ascii="微软雅黑" w:eastAsia="微软雅黑" w:hAnsi="微软雅黑" w:hint="eastAsia"/>
          <w:sz w:val="21"/>
        </w:rPr>
        <w:t>区</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建筑类型：公建</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建筑朝向：东</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建筑层数：</w:t>
      </w:r>
      <w:r>
        <w:rPr>
          <w:rFonts w:ascii="微软雅黑" w:eastAsia="微软雅黑" w:hAnsi="微软雅黑"/>
          <w:sz w:val="21"/>
        </w:rPr>
        <w:t xml:space="preserve">3 </w:t>
      </w:r>
      <w:r>
        <w:rPr>
          <w:rFonts w:ascii="微软雅黑" w:eastAsia="微软雅黑" w:hAnsi="微软雅黑" w:hint="eastAsia"/>
          <w:sz w:val="21"/>
        </w:rPr>
        <w:t>层</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建筑物高度：</w:t>
      </w:r>
      <w:r>
        <w:rPr>
          <w:rFonts w:ascii="微软雅黑" w:eastAsia="微软雅黑" w:hAnsi="微软雅黑"/>
          <w:sz w:val="21"/>
        </w:rPr>
        <w:t>10.80 m</w:t>
      </w:r>
    </w:p>
    <w:p w:rsidR="00000000" w:rsidRDefault="007432ED">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1.2 </w:t>
      </w:r>
      <w:r>
        <w:rPr>
          <w:rFonts w:ascii="微软雅黑" w:eastAsia="微软雅黑" w:hAnsi="微软雅黑" w:hint="eastAsia"/>
          <w:b/>
          <w:spacing w:val="20"/>
        </w:rPr>
        <w:t>建筑轴测图</w:t>
      </w:r>
    </w:p>
    <w:p w:rsidR="00000000" w:rsidRDefault="007432ED">
      <w:pPr>
        <w:spacing w:before="20" w:after="20"/>
        <w:jc w:val="center"/>
      </w:pPr>
      <w:r>
        <w:lastRenderedPageBreak/>
        <w:pict>
          <v:shape id="图片 4" o:spid="_x0000_i1027" type="#_x0000_t75" style="width:312pt;height:234pt;mso-wrap-style:square;mso-position-horizontal-relative:page;mso-position-vertical-relative:page">
            <v:imagedata r:id="rId9"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 xml:space="preserve">1 </w:t>
      </w:r>
      <w:r>
        <w:rPr>
          <w:rFonts w:ascii="宋体" w:hAnsi="宋体" w:hint="eastAsia"/>
          <w:sz w:val="20"/>
        </w:rPr>
        <w:t>建筑模型图</w:t>
      </w:r>
    </w:p>
    <w:p w:rsidR="00000000" w:rsidRDefault="007432ED">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二、指标要求</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针对天然采光评价标准依据主要为《绿色建筑评价标准》</w:t>
      </w:r>
      <w:r>
        <w:rPr>
          <w:rFonts w:ascii="微软雅黑" w:eastAsia="微软雅黑" w:hAnsi="微软雅黑"/>
          <w:sz w:val="21"/>
        </w:rPr>
        <w:t>GB/T 50378-2019</w:t>
      </w:r>
      <w:r>
        <w:rPr>
          <w:rFonts w:ascii="微软雅黑" w:eastAsia="微软雅黑" w:hAnsi="微软雅黑" w:hint="eastAsia"/>
          <w:sz w:val="21"/>
        </w:rPr>
        <w:t>、《建筑采光设计标准》</w:t>
      </w:r>
      <w:r>
        <w:rPr>
          <w:rFonts w:ascii="微软雅黑" w:eastAsia="微软雅黑" w:hAnsi="微软雅黑"/>
          <w:sz w:val="21"/>
        </w:rPr>
        <w:t>GB 50033-2013</w:t>
      </w:r>
      <w:r>
        <w:rPr>
          <w:rFonts w:ascii="微软雅黑" w:eastAsia="微软雅黑" w:hAnsi="微软雅黑" w:hint="eastAsia"/>
          <w:sz w:val="21"/>
        </w:rPr>
        <w:t>、《采光测量方法》</w:t>
      </w:r>
      <w:r>
        <w:rPr>
          <w:rFonts w:ascii="微软雅黑" w:eastAsia="微软雅黑" w:hAnsi="微软雅黑"/>
          <w:sz w:val="21"/>
        </w:rPr>
        <w:t>GB/T 5699</w:t>
      </w:r>
      <w:r>
        <w:rPr>
          <w:rFonts w:ascii="微软雅黑" w:eastAsia="微软雅黑" w:hAnsi="微软雅黑" w:hint="eastAsia"/>
          <w:sz w:val="21"/>
        </w:rPr>
        <w:t>，《民用建筑绿色性能计算标准》</w:t>
      </w:r>
      <w:r>
        <w:rPr>
          <w:rFonts w:ascii="微软雅黑" w:eastAsia="微软雅黑" w:hAnsi="微软雅黑"/>
          <w:sz w:val="21"/>
        </w:rPr>
        <w:t>JGJ/T 449</w:t>
      </w:r>
      <w:r>
        <w:rPr>
          <w:rFonts w:ascii="微软雅黑" w:eastAsia="微软雅黑" w:hAnsi="微软雅黑" w:hint="eastAsia"/>
          <w:sz w:val="21"/>
        </w:rPr>
        <w:t>。</w:t>
      </w:r>
    </w:p>
    <w:p w:rsidR="00000000" w:rsidRDefault="007432ED">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2.1 </w:t>
      </w:r>
      <w:r>
        <w:rPr>
          <w:rFonts w:ascii="微软雅黑" w:eastAsia="微软雅黑" w:hAnsi="微软雅黑" w:hint="eastAsia"/>
          <w:b/>
          <w:spacing w:val="20"/>
        </w:rPr>
        <w:t>条文要求</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《绿色建筑评价标准》</w:t>
      </w:r>
      <w:r>
        <w:rPr>
          <w:rFonts w:ascii="微软雅黑" w:eastAsia="微软雅黑" w:hAnsi="微软雅黑"/>
          <w:sz w:val="21"/>
        </w:rPr>
        <w:t>GB/T 50378-2019</w:t>
      </w:r>
      <w:r>
        <w:rPr>
          <w:rFonts w:ascii="微软雅黑" w:eastAsia="微软雅黑" w:hAnsi="微软雅黑" w:hint="eastAsia"/>
          <w:sz w:val="21"/>
        </w:rPr>
        <w:t>中对建筑室内光环境与视野的具体要求为：</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5.2.8 </w:t>
      </w:r>
      <w:r>
        <w:rPr>
          <w:rFonts w:ascii="微软雅黑" w:eastAsia="微软雅黑" w:hAnsi="微软雅黑" w:hint="eastAsia"/>
          <w:sz w:val="21"/>
        </w:rPr>
        <w:t>充分利用</w:t>
      </w:r>
      <w:r>
        <w:rPr>
          <w:rFonts w:ascii="微软雅黑" w:eastAsia="微软雅黑" w:hAnsi="微软雅黑" w:hint="eastAsia"/>
          <w:sz w:val="21"/>
        </w:rPr>
        <w:t>天然光，评价总分值为</w:t>
      </w:r>
      <w:r>
        <w:rPr>
          <w:rFonts w:ascii="微软雅黑" w:eastAsia="微软雅黑" w:hAnsi="微软雅黑"/>
          <w:sz w:val="21"/>
        </w:rPr>
        <w:t>12</w:t>
      </w:r>
      <w:r>
        <w:rPr>
          <w:rFonts w:ascii="微软雅黑" w:eastAsia="微软雅黑" w:hAnsi="微软雅黑" w:hint="eastAsia"/>
          <w:sz w:val="21"/>
        </w:rPr>
        <w:t>分，并按下列规则分别评分并累计：</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1 </w:t>
      </w:r>
      <w:r>
        <w:rPr>
          <w:rFonts w:ascii="微软雅黑" w:eastAsia="微软雅黑" w:hAnsi="微软雅黑" w:hint="eastAsia"/>
          <w:sz w:val="21"/>
        </w:rPr>
        <w:t>住宅建筑室内主要功能空间至少</w:t>
      </w:r>
      <w:r>
        <w:rPr>
          <w:rFonts w:ascii="微软雅黑" w:eastAsia="微软雅黑" w:hAnsi="微软雅黑"/>
          <w:sz w:val="21"/>
        </w:rPr>
        <w:t>60%</w:t>
      </w:r>
      <w:r>
        <w:rPr>
          <w:rFonts w:ascii="微软雅黑" w:eastAsia="微软雅黑" w:hAnsi="微软雅黑" w:hint="eastAsia"/>
          <w:sz w:val="21"/>
        </w:rPr>
        <w:t>面积比例区域，其采光照度值不低于</w:t>
      </w:r>
      <w:r>
        <w:rPr>
          <w:rFonts w:ascii="微软雅黑" w:eastAsia="微软雅黑" w:hAnsi="微软雅黑"/>
          <w:sz w:val="21"/>
        </w:rPr>
        <w:t>300lx</w:t>
      </w:r>
      <w:r>
        <w:rPr>
          <w:rFonts w:ascii="微软雅黑" w:eastAsia="微软雅黑" w:hAnsi="微软雅黑" w:hint="eastAsia"/>
          <w:sz w:val="21"/>
        </w:rPr>
        <w:t>的小时数平均不少于</w:t>
      </w:r>
      <w:r>
        <w:rPr>
          <w:rFonts w:ascii="微软雅黑" w:eastAsia="微软雅黑" w:hAnsi="微软雅黑"/>
          <w:sz w:val="21"/>
        </w:rPr>
        <w:t xml:space="preserve">8h/d, </w:t>
      </w:r>
      <w:r>
        <w:rPr>
          <w:rFonts w:ascii="微软雅黑" w:eastAsia="微软雅黑" w:hAnsi="微软雅黑" w:hint="eastAsia"/>
          <w:sz w:val="21"/>
        </w:rPr>
        <w:t>得</w:t>
      </w:r>
      <w:r>
        <w:rPr>
          <w:rFonts w:ascii="微软雅黑" w:eastAsia="微软雅黑" w:hAnsi="微软雅黑"/>
          <w:sz w:val="21"/>
        </w:rPr>
        <w:t>9</w:t>
      </w:r>
      <w:r>
        <w:rPr>
          <w:rFonts w:ascii="微软雅黑" w:eastAsia="微软雅黑" w:hAnsi="微软雅黑" w:hint="eastAsia"/>
          <w:sz w:val="21"/>
        </w:rPr>
        <w:t>分。</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2 </w:t>
      </w:r>
      <w:r>
        <w:rPr>
          <w:rFonts w:ascii="微软雅黑" w:eastAsia="微软雅黑" w:hAnsi="微软雅黑" w:hint="eastAsia"/>
          <w:sz w:val="21"/>
        </w:rPr>
        <w:t>公共建筑按下列规则分别评分并累计：</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1) </w:t>
      </w:r>
      <w:r>
        <w:rPr>
          <w:rFonts w:ascii="微软雅黑" w:eastAsia="微软雅黑" w:hAnsi="微软雅黑" w:hint="eastAsia"/>
          <w:sz w:val="21"/>
        </w:rPr>
        <w:t>内区采光系数满足采光要求的面积比例达到</w:t>
      </w:r>
      <w:r>
        <w:rPr>
          <w:rFonts w:ascii="微软雅黑" w:eastAsia="微软雅黑" w:hAnsi="微软雅黑"/>
          <w:sz w:val="21"/>
        </w:rPr>
        <w:t xml:space="preserve">60%, </w:t>
      </w:r>
      <w:r>
        <w:rPr>
          <w:rFonts w:ascii="微软雅黑" w:eastAsia="微软雅黑" w:hAnsi="微软雅黑" w:hint="eastAsia"/>
          <w:sz w:val="21"/>
        </w:rPr>
        <w:t>得</w:t>
      </w:r>
      <w:r>
        <w:rPr>
          <w:rFonts w:ascii="微软雅黑" w:eastAsia="微软雅黑" w:hAnsi="微软雅黑"/>
          <w:sz w:val="21"/>
        </w:rPr>
        <w:t>3</w:t>
      </w:r>
      <w:r>
        <w:rPr>
          <w:rFonts w:ascii="微软雅黑" w:eastAsia="微软雅黑" w:hAnsi="微软雅黑" w:hint="eastAsia"/>
          <w:sz w:val="21"/>
        </w:rPr>
        <w:t>分；</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2) </w:t>
      </w:r>
      <w:r>
        <w:rPr>
          <w:rFonts w:ascii="微软雅黑" w:eastAsia="微软雅黑" w:hAnsi="微软雅黑" w:hint="eastAsia"/>
          <w:sz w:val="21"/>
        </w:rPr>
        <w:t>地下空间平均采光系数不小于</w:t>
      </w:r>
      <w:r>
        <w:rPr>
          <w:rFonts w:ascii="微软雅黑" w:eastAsia="微软雅黑" w:hAnsi="微软雅黑"/>
          <w:sz w:val="21"/>
        </w:rPr>
        <w:t>0.5%</w:t>
      </w:r>
      <w:r>
        <w:rPr>
          <w:rFonts w:ascii="微软雅黑" w:eastAsia="微软雅黑" w:hAnsi="微软雅黑" w:hint="eastAsia"/>
          <w:sz w:val="21"/>
        </w:rPr>
        <w:t>的面积与地下室首层面积的比例达到</w:t>
      </w:r>
      <w:r>
        <w:rPr>
          <w:rFonts w:ascii="微软雅黑" w:eastAsia="微软雅黑" w:hAnsi="微软雅黑"/>
          <w:sz w:val="21"/>
        </w:rPr>
        <w:t>10%</w:t>
      </w:r>
      <w:r>
        <w:rPr>
          <w:rFonts w:ascii="微软雅黑" w:eastAsia="微软雅黑" w:hAnsi="微软雅黑" w:hint="eastAsia"/>
          <w:sz w:val="21"/>
        </w:rPr>
        <w:t>以上，得</w:t>
      </w:r>
      <w:r>
        <w:rPr>
          <w:rFonts w:ascii="微软雅黑" w:eastAsia="微软雅黑" w:hAnsi="微软雅黑"/>
          <w:sz w:val="21"/>
        </w:rPr>
        <w:t>3</w:t>
      </w:r>
      <w:r>
        <w:rPr>
          <w:rFonts w:ascii="微软雅黑" w:eastAsia="微软雅黑" w:hAnsi="微软雅黑" w:hint="eastAsia"/>
          <w:sz w:val="21"/>
        </w:rPr>
        <w:t>分；</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3) </w:t>
      </w:r>
      <w:r>
        <w:rPr>
          <w:rFonts w:ascii="微软雅黑" w:eastAsia="微软雅黑" w:hAnsi="微软雅黑" w:hint="eastAsia"/>
          <w:sz w:val="21"/>
        </w:rPr>
        <w:t>室内主要功能空间至少</w:t>
      </w:r>
      <w:r>
        <w:rPr>
          <w:rFonts w:ascii="微软雅黑" w:eastAsia="微软雅黑" w:hAnsi="微软雅黑"/>
          <w:sz w:val="21"/>
        </w:rPr>
        <w:t>60%</w:t>
      </w:r>
      <w:r>
        <w:rPr>
          <w:rFonts w:ascii="微软雅黑" w:eastAsia="微软雅黑" w:hAnsi="微软雅黑" w:hint="eastAsia"/>
          <w:sz w:val="21"/>
        </w:rPr>
        <w:t>面积比例区域的采光照度值不低于采光要求的小时数平均不少于</w:t>
      </w:r>
      <w:r>
        <w:rPr>
          <w:rFonts w:ascii="微软雅黑" w:eastAsia="微软雅黑" w:hAnsi="微软雅黑"/>
          <w:sz w:val="21"/>
        </w:rPr>
        <w:t xml:space="preserve">4h/d, </w:t>
      </w:r>
      <w:r>
        <w:rPr>
          <w:rFonts w:ascii="微软雅黑" w:eastAsia="微软雅黑" w:hAnsi="微软雅黑" w:hint="eastAsia"/>
          <w:sz w:val="21"/>
        </w:rPr>
        <w:t>得</w:t>
      </w:r>
      <w:r>
        <w:rPr>
          <w:rFonts w:ascii="微软雅黑" w:eastAsia="微软雅黑" w:hAnsi="微软雅黑"/>
          <w:sz w:val="21"/>
        </w:rPr>
        <w:t>3</w:t>
      </w:r>
      <w:r>
        <w:rPr>
          <w:rFonts w:ascii="微软雅黑" w:eastAsia="微软雅黑" w:hAnsi="微软雅黑" w:hint="eastAsia"/>
          <w:sz w:val="21"/>
        </w:rPr>
        <w:t>分。</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3 </w:t>
      </w:r>
      <w:r>
        <w:rPr>
          <w:rFonts w:ascii="微软雅黑" w:eastAsia="微软雅黑" w:hAnsi="微软雅黑" w:hint="eastAsia"/>
          <w:sz w:val="21"/>
        </w:rPr>
        <w:t>主要功能房间有眩光控制</w:t>
      </w:r>
      <w:r>
        <w:rPr>
          <w:rFonts w:ascii="微软雅黑" w:eastAsia="微软雅黑" w:hAnsi="微软雅黑" w:hint="eastAsia"/>
          <w:sz w:val="21"/>
        </w:rPr>
        <w:t>措施，得</w:t>
      </w:r>
      <w:r>
        <w:rPr>
          <w:rFonts w:ascii="微软雅黑" w:eastAsia="微软雅黑" w:hAnsi="微软雅黑"/>
          <w:sz w:val="21"/>
        </w:rPr>
        <w:t>3</w:t>
      </w:r>
      <w:r>
        <w:rPr>
          <w:rFonts w:ascii="微软雅黑" w:eastAsia="微软雅黑" w:hAnsi="微软雅黑" w:hint="eastAsia"/>
          <w:sz w:val="21"/>
        </w:rPr>
        <w:t>分。</w:t>
      </w:r>
    </w:p>
    <w:p w:rsidR="00000000" w:rsidRDefault="007432ED">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2.2 </w:t>
      </w:r>
      <w:r>
        <w:rPr>
          <w:rFonts w:ascii="微软雅黑" w:eastAsia="微软雅黑" w:hAnsi="微软雅黑" w:hint="eastAsia"/>
          <w:b/>
          <w:spacing w:val="20"/>
        </w:rPr>
        <w:t>评价指标</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《绿色建筑评价标准》</w:t>
      </w:r>
      <w:r>
        <w:rPr>
          <w:rFonts w:ascii="微软雅黑" w:eastAsia="微软雅黑" w:hAnsi="微软雅黑"/>
          <w:sz w:val="21"/>
        </w:rPr>
        <w:t>GB/T 50378-2019</w:t>
      </w:r>
      <w:r>
        <w:rPr>
          <w:rFonts w:ascii="微软雅黑" w:eastAsia="微软雅黑" w:hAnsi="微软雅黑" w:hint="eastAsia"/>
          <w:sz w:val="21"/>
        </w:rPr>
        <w:t>对室内光环境提出如下评价指标：</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1 </w:t>
      </w:r>
      <w:r>
        <w:rPr>
          <w:rFonts w:ascii="微软雅黑" w:eastAsia="微软雅黑" w:hAnsi="微软雅黑" w:hint="eastAsia"/>
          <w:sz w:val="21"/>
        </w:rPr>
        <w:t>主要功能房间采光照度满足要求的平均小时数不低于</w:t>
      </w:r>
      <w:r>
        <w:rPr>
          <w:rFonts w:ascii="微软雅黑" w:eastAsia="微软雅黑" w:hAnsi="微软雅黑"/>
          <w:sz w:val="21"/>
        </w:rPr>
        <w:t>4h/d</w:t>
      </w:r>
      <w:r>
        <w:rPr>
          <w:rFonts w:ascii="微软雅黑" w:eastAsia="微软雅黑" w:hAnsi="微软雅黑" w:hint="eastAsia"/>
          <w:sz w:val="21"/>
        </w:rPr>
        <w:t>的面积比例，当达标面积</w:t>
      </w:r>
      <w:r>
        <w:rPr>
          <w:rFonts w:ascii="微软雅黑" w:eastAsia="微软雅黑" w:hAnsi="微软雅黑" w:hint="eastAsia"/>
          <w:sz w:val="21"/>
        </w:rPr>
        <w:lastRenderedPageBreak/>
        <w:t>达到</w:t>
      </w:r>
      <w:r>
        <w:rPr>
          <w:rFonts w:ascii="微软雅黑" w:eastAsia="微软雅黑" w:hAnsi="微软雅黑"/>
          <w:sz w:val="21"/>
        </w:rPr>
        <w:t>60%</w:t>
      </w:r>
      <w:r>
        <w:rPr>
          <w:rFonts w:ascii="微软雅黑" w:eastAsia="微软雅黑" w:hAnsi="微软雅黑" w:hint="eastAsia"/>
          <w:sz w:val="21"/>
        </w:rPr>
        <w:t>时，认为达标。除此之外，还需考察地下室平均采光系数不小于</w:t>
      </w:r>
      <w:r>
        <w:rPr>
          <w:rFonts w:ascii="微软雅黑" w:eastAsia="微软雅黑" w:hAnsi="微软雅黑"/>
          <w:sz w:val="21"/>
        </w:rPr>
        <w:t>0.5%</w:t>
      </w:r>
      <w:r>
        <w:rPr>
          <w:rFonts w:ascii="微软雅黑" w:eastAsia="微软雅黑" w:hAnsi="微软雅黑" w:hint="eastAsia"/>
          <w:sz w:val="21"/>
        </w:rPr>
        <w:t>的面积与地下室首层面积的比例及内区采光系数满足采光要求的面积比例。公共建筑的采光照度及采光系数标准值见下表。</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 xml:space="preserve">1 </w:t>
      </w:r>
      <w:r>
        <w:rPr>
          <w:rFonts w:ascii="宋体" w:hAnsi="宋体" w:hint="eastAsia"/>
          <w:sz w:val="20"/>
        </w:rPr>
        <w:t>公共建筑采光标准值</w:t>
      </w:r>
    </w:p>
    <w:tbl>
      <w:tblPr>
        <w:tblW w:w="0" w:type="auto"/>
        <w:jc w:val="center"/>
        <w:tblLayout w:type="fixed"/>
        <w:tblLook w:val="0000" w:firstRow="0" w:lastRow="0" w:firstColumn="0" w:lastColumn="0" w:noHBand="0" w:noVBand="0"/>
      </w:tblPr>
      <w:tblGrid>
        <w:gridCol w:w="800"/>
        <w:gridCol w:w="2500"/>
        <w:gridCol w:w="1300"/>
        <w:gridCol w:w="1300"/>
        <w:gridCol w:w="1300"/>
        <w:gridCol w:w="1300"/>
      </w:tblGrid>
      <w:tr w:rsidR="00000000">
        <w:trPr>
          <w:jc w:val="center"/>
        </w:trPr>
        <w:tc>
          <w:tcPr>
            <w:tcW w:w="8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采光</w:t>
            </w:r>
            <w:r>
              <w:rPr>
                <w:rFonts w:ascii="宋体" w:hAnsi="宋体"/>
                <w:b/>
                <w:sz w:val="20"/>
              </w:rPr>
              <w:br/>
            </w:r>
            <w:r>
              <w:rPr>
                <w:rFonts w:ascii="宋体" w:hAnsi="宋体" w:hint="eastAsia"/>
                <w:b/>
                <w:sz w:val="20"/>
              </w:rPr>
              <w:t>等级</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场所名称</w:t>
            </w:r>
          </w:p>
        </w:tc>
        <w:tc>
          <w:tcPr>
            <w:tcW w:w="26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侧面采光</w:t>
            </w:r>
          </w:p>
        </w:tc>
        <w:tc>
          <w:tcPr>
            <w:tcW w:w="2600" w:type="dxa"/>
            <w:gridSpan w:val="2"/>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顶部采光</w:t>
            </w:r>
          </w:p>
        </w:tc>
      </w:tr>
      <w:tr w:rsidR="00000000">
        <w:trPr>
          <w:jc w:val="center"/>
        </w:trPr>
        <w:tc>
          <w:tcPr>
            <w:tcW w:w="800"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p>
        </w:tc>
        <w:tc>
          <w:tcPr>
            <w:tcW w:w="2500" w:type="dxa"/>
            <w:vMerge/>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p>
        </w:tc>
        <w:tc>
          <w:tcPr>
            <w:tcW w:w="13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采光系数标准值（</w:t>
            </w:r>
            <w:r>
              <w:rPr>
                <w:rFonts w:eastAsia="Times New Roman"/>
                <w:b/>
                <w:sz w:val="20"/>
              </w:rPr>
              <w:t>%</w:t>
            </w:r>
            <w:r>
              <w:rPr>
                <w:rFonts w:ascii="宋体" w:hAnsi="宋体" w:hint="eastAsia"/>
                <w:b/>
                <w:sz w:val="20"/>
              </w:rPr>
              <w:t>）</w:t>
            </w:r>
          </w:p>
        </w:tc>
        <w:tc>
          <w:tcPr>
            <w:tcW w:w="13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天然光照度标准值（</w:t>
            </w:r>
            <w:r>
              <w:rPr>
                <w:rFonts w:eastAsia="Times New Roman"/>
                <w:b/>
                <w:sz w:val="20"/>
              </w:rPr>
              <w:t>lx</w:t>
            </w:r>
            <w:r>
              <w:rPr>
                <w:rFonts w:ascii="宋体" w:hAnsi="宋体" w:hint="eastAsia"/>
                <w:b/>
                <w:sz w:val="20"/>
              </w:rPr>
              <w:t>）</w:t>
            </w:r>
          </w:p>
        </w:tc>
        <w:tc>
          <w:tcPr>
            <w:tcW w:w="13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采光系数标</w:t>
            </w:r>
            <w:r>
              <w:rPr>
                <w:rFonts w:ascii="宋体" w:hAnsi="宋体" w:hint="eastAsia"/>
                <w:b/>
                <w:sz w:val="20"/>
              </w:rPr>
              <w:t>准值（</w:t>
            </w:r>
            <w:r>
              <w:rPr>
                <w:rFonts w:eastAsia="Times New Roman"/>
                <w:b/>
                <w:sz w:val="20"/>
              </w:rPr>
              <w:t>%</w:t>
            </w:r>
            <w:r>
              <w:rPr>
                <w:rFonts w:ascii="宋体" w:hAnsi="宋体" w:hint="eastAsia"/>
                <w:b/>
                <w:sz w:val="20"/>
              </w:rPr>
              <w:t>）</w:t>
            </w:r>
          </w:p>
        </w:tc>
        <w:tc>
          <w:tcPr>
            <w:tcW w:w="13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天然光照度标准值（</w:t>
            </w:r>
            <w:r>
              <w:rPr>
                <w:rFonts w:eastAsia="Times New Roman"/>
                <w:b/>
                <w:sz w:val="20"/>
              </w:rPr>
              <w:t>lx</w:t>
            </w:r>
            <w:r>
              <w:rPr>
                <w:rFonts w:ascii="宋体" w:hAnsi="宋体" w:hint="eastAsia"/>
                <w:b/>
                <w:sz w:val="20"/>
              </w:rPr>
              <w:t>）</w:t>
            </w:r>
          </w:p>
        </w:tc>
      </w:tr>
      <w:tr w:rsidR="00000000">
        <w:trPr>
          <w:jc w:val="center"/>
        </w:trPr>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III</w:t>
            </w:r>
          </w:p>
        </w:tc>
        <w:tc>
          <w:tcPr>
            <w:tcW w:w="2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教师办公室、普通教室</w:t>
            </w: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3.0</w:t>
            </w: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450.0</w:t>
            </w: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2.0</w:t>
            </w: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300.0</w:t>
            </w:r>
          </w:p>
        </w:tc>
      </w:tr>
      <w:tr w:rsidR="00000000">
        <w:trPr>
          <w:jc w:val="center"/>
        </w:trPr>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V</w:t>
            </w:r>
          </w:p>
        </w:tc>
        <w:tc>
          <w:tcPr>
            <w:tcW w:w="2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过道</w:t>
            </w: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1.0</w:t>
            </w: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150.0</w:t>
            </w: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0.5</w:t>
            </w:r>
          </w:p>
        </w:tc>
        <w:tc>
          <w:tcPr>
            <w:tcW w:w="13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75.0</w:t>
            </w:r>
          </w:p>
        </w:tc>
      </w:tr>
    </w:tbl>
    <w:p w:rsidR="00000000" w:rsidRDefault="007432ED">
      <w:pPr>
        <w:spacing w:line="350" w:lineRule="atLeast"/>
        <w:jc w:val="both"/>
        <w:rPr>
          <w:rFonts w:ascii="微软雅黑" w:eastAsia="微软雅黑" w:hAnsi="微软雅黑"/>
          <w:sz w:val="19"/>
        </w:rPr>
      </w:pPr>
      <w:r>
        <w:rPr>
          <w:rFonts w:ascii="微软雅黑" w:eastAsia="微软雅黑" w:hAnsi="微软雅黑" w:hint="eastAsia"/>
          <w:sz w:val="19"/>
        </w:rPr>
        <w:t>注：上表是</w:t>
      </w:r>
      <w:r>
        <w:rPr>
          <w:rFonts w:ascii="微软雅黑" w:eastAsia="微软雅黑" w:hAnsi="微软雅黑"/>
          <w:sz w:val="19"/>
        </w:rPr>
        <w:t>III</w:t>
      </w:r>
      <w:r>
        <w:rPr>
          <w:rFonts w:ascii="微软雅黑" w:eastAsia="微软雅黑" w:hAnsi="微软雅黑" w:hint="eastAsia"/>
          <w:sz w:val="19"/>
        </w:rPr>
        <w:t>类光气候区的标准值，本项目处于第</w:t>
      </w:r>
      <w:r>
        <w:rPr>
          <w:rFonts w:ascii="微软雅黑" w:eastAsia="微软雅黑" w:hAnsi="微软雅黑"/>
          <w:sz w:val="19"/>
        </w:rPr>
        <w:t>IV</w:t>
      </w:r>
      <w:r>
        <w:rPr>
          <w:rFonts w:ascii="微软雅黑" w:eastAsia="微软雅黑" w:hAnsi="微软雅黑" w:hint="eastAsia"/>
          <w:sz w:val="19"/>
        </w:rPr>
        <w:t>光气候区，故采光系数标准值需要乘以相对应的光气候系数</w:t>
      </w:r>
      <w:r>
        <w:rPr>
          <w:rFonts w:ascii="微软雅黑" w:eastAsia="微软雅黑" w:hAnsi="微软雅黑"/>
          <w:sz w:val="19"/>
        </w:rPr>
        <w:t>K</w:t>
      </w:r>
      <w:r>
        <w:rPr>
          <w:rFonts w:ascii="微软雅黑" w:eastAsia="微软雅黑" w:hAnsi="微软雅黑" w:hint="eastAsia"/>
          <w:sz w:val="19"/>
        </w:rPr>
        <w:t>值，</w:t>
      </w:r>
      <w:r>
        <w:rPr>
          <w:rFonts w:ascii="微软雅黑" w:eastAsia="微软雅黑" w:hAnsi="微软雅黑"/>
          <w:sz w:val="19"/>
        </w:rPr>
        <w:t>K=1.10</w:t>
      </w:r>
      <w:r>
        <w:rPr>
          <w:rFonts w:ascii="微软雅黑" w:eastAsia="微软雅黑" w:hAnsi="微软雅黑" w:hint="eastAsia"/>
          <w:sz w:val="19"/>
        </w:rPr>
        <w:t>。</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2 </w:t>
      </w:r>
      <w:r>
        <w:rPr>
          <w:rFonts w:ascii="微软雅黑" w:eastAsia="微软雅黑" w:hAnsi="微软雅黑" w:hint="eastAsia"/>
          <w:sz w:val="21"/>
        </w:rPr>
        <w:t>主要功能房间的不舒适眩光指数（</w:t>
      </w:r>
      <w:r>
        <w:rPr>
          <w:rFonts w:ascii="微软雅黑" w:eastAsia="微软雅黑" w:hAnsi="微软雅黑"/>
          <w:sz w:val="21"/>
        </w:rPr>
        <w:t>DGI</w:t>
      </w:r>
      <w:r>
        <w:rPr>
          <w:rFonts w:ascii="微软雅黑" w:eastAsia="微软雅黑" w:hAnsi="微软雅黑" w:hint="eastAsia"/>
          <w:sz w:val="21"/>
        </w:rPr>
        <w:t>）不高于下表规定的数值</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 xml:space="preserve">2 </w:t>
      </w:r>
      <w:r>
        <w:rPr>
          <w:rFonts w:ascii="宋体" w:hAnsi="宋体" w:hint="eastAsia"/>
          <w:sz w:val="20"/>
        </w:rPr>
        <w:t>窗的不舒适眩光指数（</w:t>
      </w:r>
      <w:r>
        <w:rPr>
          <w:rFonts w:eastAsia="Times New Roman"/>
          <w:sz w:val="20"/>
        </w:rPr>
        <w:t>DGI</w:t>
      </w:r>
      <w:r>
        <w:rPr>
          <w:rFonts w:ascii="宋体" w:hAnsi="宋体" w:hint="eastAsia"/>
          <w:sz w:val="20"/>
        </w:rPr>
        <w:t>）</w:t>
      </w:r>
    </w:p>
    <w:tbl>
      <w:tblPr>
        <w:tblW w:w="0" w:type="auto"/>
        <w:jc w:val="center"/>
        <w:tblLayout w:type="fixed"/>
        <w:tblLook w:val="0000" w:firstRow="0" w:lastRow="0" w:firstColumn="0" w:lastColumn="0" w:noHBand="0" w:noVBand="0"/>
      </w:tblPr>
      <w:tblGrid>
        <w:gridCol w:w="2000"/>
        <w:gridCol w:w="4000"/>
      </w:tblGrid>
      <w:tr w:rsidR="00000000">
        <w:trPr>
          <w:jc w:val="center"/>
        </w:trPr>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采光等级</w:t>
            </w:r>
          </w:p>
        </w:tc>
        <w:tc>
          <w:tcPr>
            <w:tcW w:w="4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眩光指数值</w:t>
            </w:r>
            <w:r>
              <w:rPr>
                <w:rFonts w:eastAsia="Times New Roman"/>
                <w:b/>
                <w:sz w:val="20"/>
              </w:rPr>
              <w:t>DGI</w:t>
            </w:r>
          </w:p>
        </w:tc>
      </w:tr>
      <w:tr w:rsidR="00000000">
        <w:trPr>
          <w:jc w:val="center"/>
        </w:trPr>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I</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20</w:t>
            </w:r>
          </w:p>
        </w:tc>
      </w:tr>
      <w:tr w:rsidR="00000000">
        <w:trPr>
          <w:jc w:val="center"/>
        </w:trPr>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II</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23</w:t>
            </w:r>
          </w:p>
        </w:tc>
      </w:tr>
      <w:tr w:rsidR="00000000">
        <w:trPr>
          <w:jc w:val="center"/>
        </w:trPr>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III</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25</w:t>
            </w:r>
          </w:p>
        </w:tc>
      </w:tr>
      <w:tr w:rsidR="00000000">
        <w:trPr>
          <w:jc w:val="center"/>
        </w:trPr>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IV</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27</w:t>
            </w:r>
          </w:p>
        </w:tc>
      </w:tr>
      <w:tr w:rsidR="00000000">
        <w:trPr>
          <w:jc w:val="center"/>
        </w:trPr>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V</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28</w:t>
            </w:r>
          </w:p>
        </w:tc>
      </w:tr>
    </w:tbl>
    <w:p w:rsidR="00000000" w:rsidRDefault="007432ED">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三、模拟概述</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目前常用的采</w:t>
      </w:r>
      <w:r>
        <w:rPr>
          <w:rFonts w:ascii="微软雅黑" w:eastAsia="微软雅黑" w:hAnsi="微软雅黑" w:hint="eastAsia"/>
          <w:sz w:val="21"/>
        </w:rPr>
        <w:t>光评价的方法有平均采光系数（</w:t>
      </w:r>
      <w:r>
        <w:rPr>
          <w:rFonts w:ascii="微软雅黑" w:eastAsia="微软雅黑" w:hAnsi="微软雅黑"/>
          <w:sz w:val="21"/>
        </w:rPr>
        <w:t>Cav</w:t>
      </w:r>
      <w:r>
        <w:rPr>
          <w:rFonts w:ascii="微软雅黑" w:eastAsia="微软雅黑" w:hAnsi="微软雅黑" w:hint="eastAsia"/>
          <w:sz w:val="21"/>
        </w:rPr>
        <w:t>）公式法、采光系数（</w:t>
      </w:r>
      <w:r>
        <w:rPr>
          <w:rFonts w:ascii="微软雅黑" w:eastAsia="微软雅黑" w:hAnsi="微软雅黑"/>
          <w:sz w:val="21"/>
        </w:rPr>
        <w:t>DF</w:t>
      </w:r>
      <w:r>
        <w:rPr>
          <w:rFonts w:ascii="微软雅黑" w:eastAsia="微软雅黑" w:hAnsi="微软雅黑" w:hint="eastAsia"/>
          <w:sz w:val="21"/>
        </w:rPr>
        <w:t>）静态模拟法、动态模拟法，其中平均采光系数（</w:t>
      </w:r>
      <w:r>
        <w:rPr>
          <w:rFonts w:ascii="微软雅黑" w:eastAsia="微软雅黑" w:hAnsi="微软雅黑"/>
          <w:sz w:val="21"/>
        </w:rPr>
        <w:t>Cav</w:t>
      </w:r>
      <w:r>
        <w:rPr>
          <w:rFonts w:ascii="微软雅黑" w:eastAsia="微软雅黑" w:hAnsi="微软雅黑" w:hint="eastAsia"/>
          <w:sz w:val="21"/>
        </w:rPr>
        <w:t>）公式法是在典型条件下的快速算法，《建筑采光设计标准》</w:t>
      </w:r>
      <w:r>
        <w:rPr>
          <w:rFonts w:ascii="微软雅黑" w:eastAsia="微软雅黑" w:hAnsi="微软雅黑"/>
          <w:sz w:val="21"/>
        </w:rPr>
        <w:t>GB 50033-2013</w:t>
      </w:r>
      <w:r>
        <w:rPr>
          <w:rFonts w:ascii="微软雅黑" w:eastAsia="微软雅黑" w:hAnsi="微软雅黑" w:hint="eastAsia"/>
          <w:sz w:val="21"/>
        </w:rPr>
        <w:t>给出了具体的计算公式；采光系数（</w:t>
      </w:r>
      <w:r>
        <w:rPr>
          <w:rFonts w:ascii="微软雅黑" w:eastAsia="微软雅黑" w:hAnsi="微软雅黑"/>
          <w:sz w:val="21"/>
        </w:rPr>
        <w:t>DF</w:t>
      </w:r>
      <w:r>
        <w:rPr>
          <w:rFonts w:ascii="微软雅黑" w:eastAsia="微软雅黑" w:hAnsi="微软雅黑" w:hint="eastAsia"/>
          <w:sz w:val="21"/>
        </w:rPr>
        <w:t>）是室内目标点上的照度与全阴天下室外水平照度的比值，表征全年中最不利的天气条件下的采光情况。以上的评价方法具有计算简单、使用方便等优点，但这种评价方法的缺点也很明显，未考虑建筑朝向、太阳光直射、天空状况、季节与时间等因素，近年来国际上发展起来一些新的天然采光评价指标，包括</w:t>
      </w:r>
      <w:r>
        <w:rPr>
          <w:rFonts w:ascii="微软雅黑" w:eastAsia="微软雅黑" w:hAnsi="微软雅黑"/>
          <w:sz w:val="21"/>
        </w:rPr>
        <w:t>Daylight</w:t>
      </w:r>
      <w:r>
        <w:rPr>
          <w:rFonts w:ascii="微软雅黑" w:eastAsia="微软雅黑" w:hAnsi="微软雅黑"/>
          <w:sz w:val="21"/>
        </w:rPr>
        <w:t xml:space="preserve"> Autonomy</w:t>
      </w:r>
      <w:r>
        <w:rPr>
          <w:rFonts w:ascii="微软雅黑" w:eastAsia="微软雅黑" w:hAnsi="微软雅黑" w:hint="eastAsia"/>
          <w:sz w:val="21"/>
        </w:rPr>
        <w:t>（</w:t>
      </w:r>
      <w:r>
        <w:rPr>
          <w:rFonts w:ascii="微软雅黑" w:eastAsia="微软雅黑" w:hAnsi="微软雅黑"/>
          <w:sz w:val="21"/>
        </w:rPr>
        <w:t>DA</w:t>
      </w:r>
      <w:r>
        <w:rPr>
          <w:rFonts w:ascii="微软雅黑" w:eastAsia="微软雅黑" w:hAnsi="微软雅黑" w:hint="eastAsia"/>
          <w:sz w:val="21"/>
        </w:rPr>
        <w:t>）、</w:t>
      </w:r>
      <w:r>
        <w:rPr>
          <w:rFonts w:ascii="微软雅黑" w:eastAsia="微软雅黑" w:hAnsi="微软雅黑"/>
          <w:sz w:val="21"/>
        </w:rPr>
        <w:t>Useful Daylight Illuminances</w:t>
      </w:r>
      <w:r>
        <w:rPr>
          <w:rFonts w:ascii="微软雅黑" w:eastAsia="微软雅黑" w:hAnsi="微软雅黑" w:hint="eastAsia"/>
          <w:sz w:val="21"/>
        </w:rPr>
        <w:t>（</w:t>
      </w:r>
      <w:r>
        <w:rPr>
          <w:rFonts w:ascii="微软雅黑" w:eastAsia="微软雅黑" w:hAnsi="微软雅黑"/>
          <w:sz w:val="21"/>
        </w:rPr>
        <w:t>UDI</w:t>
      </w:r>
      <w:r>
        <w:rPr>
          <w:rFonts w:ascii="微软雅黑" w:eastAsia="微软雅黑" w:hAnsi="微软雅黑" w:hint="eastAsia"/>
          <w:sz w:val="21"/>
        </w:rPr>
        <w:t>）等。</w:t>
      </w:r>
      <w:r>
        <w:rPr>
          <w:rFonts w:ascii="微软雅黑" w:eastAsia="微软雅黑" w:hAnsi="微软雅黑"/>
          <w:sz w:val="21"/>
        </w:rPr>
        <w:t>2019</w:t>
      </w:r>
      <w:r>
        <w:rPr>
          <w:rFonts w:ascii="微软雅黑" w:eastAsia="微软雅黑" w:hAnsi="微软雅黑" w:hint="eastAsia"/>
          <w:sz w:val="21"/>
        </w:rPr>
        <w:t>年修订的《绿色建筑评价标准》提出了一种动态的分析的方法：动态采光评价法，本项目即采用这种方法进行采光设计。</w:t>
      </w:r>
    </w:p>
    <w:p w:rsidR="00000000" w:rsidRDefault="007432ED">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3.1 </w:t>
      </w:r>
      <w:r>
        <w:rPr>
          <w:rFonts w:ascii="微软雅黑" w:eastAsia="微软雅黑" w:hAnsi="微软雅黑" w:hint="eastAsia"/>
          <w:b/>
          <w:spacing w:val="20"/>
        </w:rPr>
        <w:t>原理概要</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动态采光评价法指的是主要功能房间采用全年中建筑空间各位置满足采光照度要求的时长来进行采光效果评价，计算时应采用标准年的光气候数据。对于设计阶段，计算参数按照现行行业标准《民用建筑绿色性能计算标准》</w:t>
      </w:r>
      <w:r>
        <w:rPr>
          <w:rFonts w:ascii="微软雅黑" w:eastAsia="微软雅黑" w:hAnsi="微软雅黑"/>
          <w:sz w:val="21"/>
        </w:rPr>
        <w:t>JGJ/T 449</w:t>
      </w:r>
      <w:r>
        <w:rPr>
          <w:rFonts w:ascii="微软雅黑" w:eastAsia="微软雅黑" w:hAnsi="微软雅黑" w:hint="eastAsia"/>
          <w:sz w:val="21"/>
        </w:rPr>
        <w:t>执行（地面反射比</w:t>
      </w:r>
      <w:r>
        <w:rPr>
          <w:rFonts w:ascii="微软雅黑" w:eastAsia="微软雅黑" w:hAnsi="微软雅黑"/>
          <w:sz w:val="21"/>
        </w:rPr>
        <w:t>0.3</w:t>
      </w:r>
      <w:r>
        <w:rPr>
          <w:rFonts w:ascii="微软雅黑" w:eastAsia="微软雅黑" w:hAnsi="微软雅黑" w:hint="eastAsia"/>
          <w:sz w:val="21"/>
        </w:rPr>
        <w:t>，墙面反射比</w:t>
      </w:r>
      <w:r>
        <w:rPr>
          <w:rFonts w:ascii="微软雅黑" w:eastAsia="微软雅黑" w:hAnsi="微软雅黑"/>
          <w:sz w:val="21"/>
        </w:rPr>
        <w:t>0.6</w:t>
      </w:r>
      <w:r>
        <w:rPr>
          <w:rFonts w:ascii="微软雅黑" w:eastAsia="微软雅黑" w:hAnsi="微软雅黑" w:hint="eastAsia"/>
          <w:sz w:val="21"/>
        </w:rPr>
        <w:t>，外表面反射比</w:t>
      </w:r>
      <w:r>
        <w:rPr>
          <w:rFonts w:ascii="微软雅黑" w:eastAsia="微软雅黑" w:hAnsi="微软雅黑"/>
          <w:sz w:val="21"/>
        </w:rPr>
        <w:t>0.5</w:t>
      </w:r>
      <w:r>
        <w:rPr>
          <w:rFonts w:ascii="微软雅黑" w:eastAsia="微软雅黑" w:hAnsi="微软雅黑" w:hint="eastAsia"/>
          <w:sz w:val="21"/>
        </w:rPr>
        <w:t>，顶棚</w:t>
      </w:r>
      <w:r>
        <w:rPr>
          <w:rFonts w:ascii="微软雅黑" w:eastAsia="微软雅黑" w:hAnsi="微软雅黑" w:hint="eastAsia"/>
          <w:sz w:val="21"/>
        </w:rPr>
        <w:t>反射比</w:t>
      </w:r>
      <w:r>
        <w:rPr>
          <w:rFonts w:ascii="微软雅黑" w:eastAsia="微软雅黑" w:hAnsi="微软雅黑"/>
          <w:sz w:val="21"/>
        </w:rPr>
        <w:t>0.75</w:t>
      </w:r>
      <w:r>
        <w:rPr>
          <w:rFonts w:ascii="微软雅黑" w:eastAsia="微软雅黑" w:hAnsi="微软雅黑" w:hint="eastAsia"/>
          <w:sz w:val="21"/>
        </w:rPr>
        <w:t>）；对于运行阶段可按照建筑实际参数进行计算，已获得准确的采光效果计算结果。</w:t>
      </w:r>
    </w:p>
    <w:p w:rsidR="00000000" w:rsidRDefault="007432ED">
      <w:pPr>
        <w:pStyle w:val="2"/>
        <w:spacing w:before="150" w:after="150"/>
        <w:jc w:val="both"/>
        <w:rPr>
          <w:rFonts w:ascii="微软雅黑" w:eastAsia="微软雅黑" w:hAnsi="微软雅黑"/>
          <w:b/>
          <w:spacing w:val="20"/>
        </w:rPr>
      </w:pPr>
      <w:r>
        <w:rPr>
          <w:rFonts w:ascii="微软雅黑" w:eastAsia="微软雅黑" w:hAnsi="微软雅黑"/>
          <w:b/>
          <w:spacing w:val="20"/>
        </w:rPr>
        <w:lastRenderedPageBreak/>
        <w:t xml:space="preserve">3.2 </w:t>
      </w:r>
      <w:r>
        <w:rPr>
          <w:rFonts w:ascii="微软雅黑" w:eastAsia="微软雅黑" w:hAnsi="微软雅黑" w:hint="eastAsia"/>
          <w:b/>
          <w:spacing w:val="20"/>
        </w:rPr>
        <w:t>参数设置</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材料的材质、颜色、表面状况决定光的吸收、反射与投射性能，对建筑采光影响较大，模拟分析时需根据实际材料性状对参数进行选值。</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本报告参照《绿色建筑评价标准》</w:t>
      </w:r>
      <w:r>
        <w:rPr>
          <w:rFonts w:ascii="微软雅黑" w:eastAsia="微软雅黑" w:hAnsi="微软雅黑"/>
          <w:sz w:val="21"/>
        </w:rPr>
        <w:t>GB/T 50378-2019</w:t>
      </w:r>
      <w:r>
        <w:rPr>
          <w:rFonts w:ascii="微软雅黑" w:eastAsia="微软雅黑" w:hAnsi="微软雅黑" w:hint="eastAsia"/>
          <w:sz w:val="21"/>
        </w:rPr>
        <w:t>、《民用建筑绿色性能计算标准》</w:t>
      </w:r>
      <w:r>
        <w:rPr>
          <w:rFonts w:ascii="微软雅黑" w:eastAsia="微软雅黑" w:hAnsi="微软雅黑"/>
          <w:sz w:val="21"/>
        </w:rPr>
        <w:t>JGJ/T 449</w:t>
      </w:r>
      <w:r>
        <w:rPr>
          <w:rFonts w:ascii="微软雅黑" w:eastAsia="微软雅黑" w:hAnsi="微软雅黑" w:hint="eastAsia"/>
          <w:sz w:val="21"/>
        </w:rPr>
        <w:t>、《建筑采光设计标准》</w:t>
      </w:r>
      <w:r>
        <w:rPr>
          <w:rFonts w:ascii="微软雅黑" w:eastAsia="微软雅黑" w:hAnsi="微软雅黑"/>
          <w:sz w:val="21"/>
        </w:rPr>
        <w:t>GB 50033-2013</w:t>
      </w:r>
      <w:r>
        <w:rPr>
          <w:rFonts w:ascii="微软雅黑" w:eastAsia="微软雅黑" w:hAnsi="微软雅黑" w:hint="eastAsia"/>
          <w:sz w:val="21"/>
        </w:rPr>
        <w:t>的表</w:t>
      </w:r>
      <w:r>
        <w:rPr>
          <w:rFonts w:ascii="微软雅黑" w:eastAsia="微软雅黑" w:hAnsi="微软雅黑"/>
          <w:sz w:val="21"/>
        </w:rPr>
        <w:t>5.0.4</w:t>
      </w:r>
      <w:r>
        <w:rPr>
          <w:rFonts w:ascii="微软雅黑" w:eastAsia="微软雅黑" w:hAnsi="微软雅黑" w:hint="eastAsia"/>
          <w:sz w:val="21"/>
        </w:rPr>
        <w:t>及附录</w:t>
      </w:r>
      <w:r>
        <w:rPr>
          <w:rFonts w:ascii="微软雅黑" w:eastAsia="微软雅黑" w:hAnsi="微软雅黑"/>
          <w:sz w:val="21"/>
        </w:rPr>
        <w:t>D</w:t>
      </w:r>
      <w:r>
        <w:rPr>
          <w:rFonts w:ascii="微软雅黑" w:eastAsia="微软雅黑" w:hAnsi="微软雅黑" w:hint="eastAsia"/>
          <w:sz w:val="21"/>
        </w:rPr>
        <w:t>及《全国民用建筑工程设计技术措施节能专篇</w:t>
      </w:r>
      <w:r>
        <w:rPr>
          <w:rFonts w:ascii="微软雅黑" w:eastAsia="微软雅黑" w:hAnsi="微软雅黑"/>
          <w:sz w:val="21"/>
        </w:rPr>
        <w:t>-</w:t>
      </w:r>
      <w:r>
        <w:rPr>
          <w:rFonts w:ascii="微软雅黑" w:eastAsia="微软雅黑" w:hAnsi="微软雅黑" w:hint="eastAsia"/>
          <w:sz w:val="21"/>
        </w:rPr>
        <w:t>建筑》中表</w:t>
      </w:r>
      <w:r>
        <w:rPr>
          <w:rFonts w:ascii="微软雅黑" w:eastAsia="微软雅黑" w:hAnsi="微软雅黑"/>
          <w:sz w:val="21"/>
        </w:rPr>
        <w:t>6.3.1</w:t>
      </w:r>
      <w:r>
        <w:rPr>
          <w:rFonts w:ascii="微软雅黑" w:eastAsia="微软雅黑" w:hAnsi="微软雅黑" w:hint="eastAsia"/>
          <w:sz w:val="21"/>
        </w:rPr>
        <w:t>。对各种不同材料构造的光学性能参数提供的参</w:t>
      </w:r>
      <w:r>
        <w:rPr>
          <w:rFonts w:ascii="微软雅黑" w:eastAsia="微软雅黑" w:hAnsi="微软雅黑" w:hint="eastAsia"/>
          <w:sz w:val="21"/>
        </w:rPr>
        <w:t>考指导值进行赋值计算分析，本项目玻璃及内饰面材料光学性能参数取值具体如下表所示。</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 xml:space="preserve">3 </w:t>
      </w:r>
      <w:r>
        <w:rPr>
          <w:rFonts w:ascii="宋体" w:hAnsi="宋体" w:hint="eastAsia"/>
          <w:sz w:val="20"/>
        </w:rPr>
        <w:t>目标建筑材料光学性能参数</w:t>
      </w:r>
    </w:p>
    <w:tbl>
      <w:tblPr>
        <w:tblW w:w="0" w:type="auto"/>
        <w:jc w:val="center"/>
        <w:tblLayout w:type="fixed"/>
        <w:tblLook w:val="0000" w:firstRow="0" w:lastRow="0" w:firstColumn="0" w:lastColumn="0" w:noHBand="0" w:noVBand="0"/>
      </w:tblPr>
      <w:tblGrid>
        <w:gridCol w:w="1200"/>
        <w:gridCol w:w="4000"/>
        <w:gridCol w:w="1500"/>
        <w:gridCol w:w="1500"/>
      </w:tblGrid>
      <w:tr w:rsidR="00000000">
        <w:trPr>
          <w:jc w:val="center"/>
        </w:trPr>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构造部位</w:t>
            </w:r>
          </w:p>
        </w:tc>
        <w:tc>
          <w:tcPr>
            <w:tcW w:w="4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材料</w:t>
            </w: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内饰面反射比</w:t>
            </w:r>
          </w:p>
        </w:tc>
        <w:tc>
          <w:tcPr>
            <w:tcW w:w="15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20"/>
              </w:rPr>
            </w:pPr>
            <w:r>
              <w:rPr>
                <w:rFonts w:ascii="宋体" w:hAnsi="宋体" w:hint="eastAsia"/>
                <w:b/>
                <w:sz w:val="20"/>
              </w:rPr>
              <w:t>可见光透射比</w:t>
            </w:r>
          </w:p>
        </w:tc>
      </w:tr>
      <w:tr w:rsidR="00000000">
        <w:trPr>
          <w:jc w:val="center"/>
        </w:trPr>
        <w:tc>
          <w:tcPr>
            <w:tcW w:w="12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墙面</w:t>
            </w:r>
            <w:r>
              <w:rPr>
                <w:rFonts w:eastAsia="Times New Roman"/>
                <w:sz w:val="20"/>
              </w:rPr>
              <w:t>1</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绿建新国标推荐值：墙面</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0.60</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w:t>
            </w:r>
          </w:p>
        </w:tc>
      </w:tr>
      <w:tr w:rsidR="00000000">
        <w:trPr>
          <w:jc w:val="center"/>
        </w:trPr>
        <w:tc>
          <w:tcPr>
            <w:tcW w:w="12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顶棚</w:t>
            </w:r>
            <w:r>
              <w:rPr>
                <w:rFonts w:eastAsia="Times New Roman"/>
                <w:sz w:val="20"/>
              </w:rPr>
              <w:t>1</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绿建新国标推荐值：墙面</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0.60</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w:t>
            </w:r>
          </w:p>
        </w:tc>
      </w:tr>
      <w:tr w:rsidR="00000000">
        <w:trPr>
          <w:jc w:val="center"/>
        </w:trPr>
        <w:tc>
          <w:tcPr>
            <w:tcW w:w="12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地板</w:t>
            </w:r>
            <w:r>
              <w:rPr>
                <w:rFonts w:eastAsia="Times New Roman"/>
                <w:sz w:val="20"/>
              </w:rPr>
              <w:t>1</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绿建新国标推荐值：墙面</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0.60</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w:t>
            </w:r>
          </w:p>
        </w:tc>
      </w:tr>
      <w:tr w:rsidR="00000000">
        <w:trPr>
          <w:jc w:val="center"/>
        </w:trPr>
        <w:tc>
          <w:tcPr>
            <w:tcW w:w="12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外窗</w:t>
            </w:r>
            <w:r>
              <w:rPr>
                <w:rFonts w:eastAsia="Times New Roman"/>
                <w:sz w:val="20"/>
              </w:rPr>
              <w:t>1</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6mm</w:t>
            </w:r>
            <w:r>
              <w:rPr>
                <w:rFonts w:ascii="宋体" w:hAnsi="宋体" w:hint="eastAsia"/>
                <w:sz w:val="20"/>
              </w:rPr>
              <w:t>普通白玻</w:t>
            </w:r>
            <w:r>
              <w:rPr>
                <w:rFonts w:eastAsia="Times New Roman"/>
                <w:sz w:val="20"/>
              </w:rPr>
              <w:t xml:space="preserve"> 0.89</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0.89</w:t>
            </w:r>
          </w:p>
        </w:tc>
      </w:tr>
      <w:tr w:rsidR="00000000">
        <w:trPr>
          <w:jc w:val="center"/>
        </w:trPr>
        <w:tc>
          <w:tcPr>
            <w:tcW w:w="12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内窗</w:t>
            </w:r>
            <w:r>
              <w:rPr>
                <w:rFonts w:eastAsia="Times New Roman"/>
                <w:sz w:val="20"/>
              </w:rPr>
              <w:t>1</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6mm</w:t>
            </w:r>
            <w:r>
              <w:rPr>
                <w:rFonts w:ascii="宋体" w:hAnsi="宋体" w:hint="eastAsia"/>
                <w:sz w:val="20"/>
              </w:rPr>
              <w:t>普通白玻</w:t>
            </w:r>
            <w:r>
              <w:rPr>
                <w:rFonts w:eastAsia="Times New Roman"/>
                <w:sz w:val="20"/>
              </w:rPr>
              <w:t xml:space="preserve"> 0.89</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0.89</w:t>
            </w:r>
          </w:p>
        </w:tc>
      </w:tr>
      <w:tr w:rsidR="00000000">
        <w:trPr>
          <w:jc w:val="center"/>
        </w:trPr>
        <w:tc>
          <w:tcPr>
            <w:tcW w:w="12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ascii="宋体" w:hAnsi="宋体" w:hint="eastAsia"/>
                <w:sz w:val="20"/>
              </w:rPr>
              <w:t>内玻璃幕墙</w:t>
            </w:r>
            <w:r>
              <w:rPr>
                <w:rFonts w:eastAsia="Times New Roman"/>
                <w:sz w:val="20"/>
              </w:rPr>
              <w:t>1</w:t>
            </w:r>
          </w:p>
        </w:tc>
        <w:tc>
          <w:tcPr>
            <w:tcW w:w="4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6</w:t>
            </w:r>
            <w:r>
              <w:rPr>
                <w:rFonts w:ascii="宋体" w:hAnsi="宋体" w:hint="eastAsia"/>
                <w:sz w:val="20"/>
              </w:rPr>
              <w:t>中透光</w:t>
            </w:r>
            <w:r>
              <w:rPr>
                <w:rFonts w:eastAsia="Times New Roman"/>
                <w:sz w:val="20"/>
              </w:rPr>
              <w:t>Low-E+12</w:t>
            </w:r>
            <w:r>
              <w:rPr>
                <w:rFonts w:ascii="宋体" w:hAnsi="宋体" w:hint="eastAsia"/>
                <w:sz w:val="20"/>
              </w:rPr>
              <w:t>空气</w:t>
            </w:r>
            <w:r>
              <w:rPr>
                <w:rFonts w:eastAsia="Times New Roman"/>
                <w:sz w:val="20"/>
              </w:rPr>
              <w:t>+6</w:t>
            </w:r>
            <w:r>
              <w:rPr>
                <w:rFonts w:ascii="宋体" w:hAnsi="宋体" w:hint="eastAsia"/>
                <w:sz w:val="20"/>
              </w:rPr>
              <w:t>透明</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w:t>
            </w:r>
          </w:p>
        </w:tc>
        <w:tc>
          <w:tcPr>
            <w:tcW w:w="15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20"/>
              </w:rPr>
            </w:pPr>
            <w:r>
              <w:rPr>
                <w:rFonts w:eastAsia="Times New Roman"/>
                <w:sz w:val="20"/>
              </w:rPr>
              <w:t>0.62</w:t>
            </w:r>
          </w:p>
        </w:tc>
      </w:tr>
    </w:tbl>
    <w:p w:rsidR="00000000" w:rsidRDefault="007432ED">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t>四、模拟分析</w:t>
      </w:r>
    </w:p>
    <w:p w:rsidR="00000000" w:rsidRDefault="007432ED">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4.1 </w:t>
      </w:r>
      <w:r>
        <w:rPr>
          <w:rFonts w:ascii="微软雅黑" w:eastAsia="微软雅黑" w:hAnsi="微软雅黑" w:hint="eastAsia"/>
          <w:b/>
          <w:spacing w:val="20"/>
        </w:rPr>
        <w:t>模拟条</w:t>
      </w:r>
      <w:r>
        <w:rPr>
          <w:rFonts w:ascii="微软雅黑" w:eastAsia="微软雅黑" w:hAnsi="微软雅黑" w:hint="eastAsia"/>
          <w:b/>
          <w:spacing w:val="20"/>
        </w:rPr>
        <w:t>件</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采光系数及照度计算：逐时动态计算</w:t>
      </w:r>
    </w:p>
    <w:p w:rsidR="00000000" w:rsidRDefault="007432ED">
      <w:pPr>
        <w:spacing w:line="400" w:lineRule="atLeast"/>
        <w:jc w:val="both"/>
        <w:rPr>
          <w:rFonts w:ascii="微软雅黑" w:eastAsia="微软雅黑" w:hAnsi="微软雅黑"/>
          <w:sz w:val="21"/>
        </w:rPr>
      </w:pPr>
      <w:r>
        <w:rPr>
          <w:rFonts w:ascii="微软雅黑" w:eastAsia="微软雅黑" w:hAnsi="微软雅黑"/>
          <w:sz w:val="21"/>
        </w:rPr>
        <w:t>CIE</w:t>
      </w:r>
      <w:r>
        <w:rPr>
          <w:rFonts w:ascii="微软雅黑" w:eastAsia="微软雅黑" w:hAnsi="微软雅黑" w:hint="eastAsia"/>
          <w:sz w:val="21"/>
        </w:rPr>
        <w:t>天空模型（眩光计算）：全阴天</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模拟空间网格间距：</w:t>
      </w:r>
      <w:r>
        <w:rPr>
          <w:rFonts w:ascii="微软雅黑" w:eastAsia="微软雅黑" w:hAnsi="微软雅黑"/>
          <w:sz w:val="21"/>
        </w:rPr>
        <w:t>0.50(</w:t>
      </w:r>
      <w:r>
        <w:rPr>
          <w:rFonts w:ascii="微软雅黑" w:eastAsia="微软雅黑" w:hAnsi="微软雅黑" w:hint="eastAsia"/>
          <w:sz w:val="21"/>
        </w:rPr>
        <w:t>米</w:t>
      </w:r>
      <w:r>
        <w:rPr>
          <w:rFonts w:ascii="微软雅黑" w:eastAsia="微软雅黑" w:hAnsi="微软雅黑"/>
          <w:sz w:val="21"/>
        </w:rPr>
        <w:t>)</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本项目划分网格数：</w:t>
      </w:r>
      <w:r>
        <w:rPr>
          <w:rFonts w:ascii="微软雅黑" w:eastAsia="微软雅黑" w:hAnsi="微软雅黑"/>
          <w:sz w:val="21"/>
        </w:rPr>
        <w:t>14201(</w:t>
      </w:r>
      <w:r>
        <w:rPr>
          <w:rFonts w:ascii="微软雅黑" w:eastAsia="微软雅黑" w:hAnsi="微软雅黑" w:hint="eastAsia"/>
          <w:sz w:val="21"/>
        </w:rPr>
        <w:t>个</w:t>
      </w:r>
      <w:r>
        <w:rPr>
          <w:rFonts w:ascii="微软雅黑" w:eastAsia="微软雅黑" w:hAnsi="微软雅黑"/>
          <w:sz w:val="21"/>
        </w:rPr>
        <w:t>)</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地面材质反射系数：</w:t>
      </w:r>
      <w:r>
        <w:rPr>
          <w:rFonts w:ascii="微软雅黑" w:eastAsia="微软雅黑" w:hAnsi="微软雅黑"/>
          <w:sz w:val="21"/>
        </w:rPr>
        <w:t>0.30</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光线反射次数：</w:t>
      </w:r>
      <w:r>
        <w:rPr>
          <w:rFonts w:ascii="微软雅黑" w:eastAsia="微软雅黑" w:hAnsi="微软雅黑"/>
          <w:sz w:val="21"/>
        </w:rPr>
        <w:t>5</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模拟范围：</w:t>
      </w:r>
      <w:r>
        <w:rPr>
          <w:rFonts w:ascii="微软雅黑" w:eastAsia="微软雅黑" w:hAnsi="微软雅黑"/>
          <w:sz w:val="21"/>
        </w:rPr>
        <w:t>1</w:t>
      </w:r>
      <w:r>
        <w:rPr>
          <w:rFonts w:ascii="微软雅黑" w:eastAsia="微软雅黑" w:hAnsi="微软雅黑" w:hint="eastAsia"/>
          <w:sz w:val="21"/>
        </w:rPr>
        <w:t>（</w:t>
      </w:r>
      <w:r>
        <w:rPr>
          <w:rFonts w:ascii="微软雅黑" w:eastAsia="微软雅黑" w:hAnsi="微软雅黑"/>
          <w:sz w:val="21"/>
        </w:rPr>
        <w:t>1</w:t>
      </w:r>
      <w:r>
        <w:rPr>
          <w:rFonts w:ascii="微软雅黑" w:eastAsia="微软雅黑" w:hAnsi="微软雅黑" w:hint="eastAsia"/>
          <w:sz w:val="21"/>
        </w:rPr>
        <w:t>）、</w:t>
      </w:r>
      <w:r>
        <w:rPr>
          <w:rFonts w:ascii="微软雅黑" w:eastAsia="微软雅黑" w:hAnsi="微软雅黑"/>
          <w:sz w:val="21"/>
        </w:rPr>
        <w:t>2</w:t>
      </w:r>
      <w:r>
        <w:rPr>
          <w:rFonts w:ascii="微软雅黑" w:eastAsia="微软雅黑" w:hAnsi="微软雅黑" w:hint="eastAsia"/>
          <w:sz w:val="21"/>
        </w:rPr>
        <w:t>（</w:t>
      </w:r>
      <w:r>
        <w:rPr>
          <w:rFonts w:ascii="微软雅黑" w:eastAsia="微软雅黑" w:hAnsi="微软雅黑"/>
          <w:sz w:val="21"/>
        </w:rPr>
        <w:t>2</w:t>
      </w:r>
      <w:r>
        <w:rPr>
          <w:rFonts w:ascii="微软雅黑" w:eastAsia="微软雅黑" w:hAnsi="微软雅黑" w:hint="eastAsia"/>
          <w:sz w:val="21"/>
        </w:rPr>
        <w:t>）、</w:t>
      </w:r>
      <w:r>
        <w:rPr>
          <w:rFonts w:ascii="微软雅黑" w:eastAsia="微软雅黑" w:hAnsi="微软雅黑"/>
          <w:sz w:val="21"/>
        </w:rPr>
        <w:t>3</w:t>
      </w:r>
      <w:r>
        <w:rPr>
          <w:rFonts w:ascii="微软雅黑" w:eastAsia="微软雅黑" w:hAnsi="微软雅黑" w:hint="eastAsia"/>
          <w:sz w:val="21"/>
        </w:rPr>
        <w:t>（</w:t>
      </w:r>
      <w:r>
        <w:rPr>
          <w:rFonts w:ascii="微软雅黑" w:eastAsia="微软雅黑" w:hAnsi="微软雅黑"/>
          <w:sz w:val="21"/>
        </w:rPr>
        <w:t>3</w:t>
      </w:r>
      <w:r>
        <w:rPr>
          <w:rFonts w:ascii="微软雅黑" w:eastAsia="微软雅黑" w:hAnsi="微软雅黑" w:hint="eastAsia"/>
          <w:sz w:val="21"/>
        </w:rPr>
        <w:t>）</w:t>
      </w:r>
    </w:p>
    <w:p w:rsidR="00000000" w:rsidRDefault="007432ED">
      <w:pPr>
        <w:spacing w:line="400" w:lineRule="atLeast"/>
        <w:jc w:val="both"/>
        <w:rPr>
          <w:rFonts w:ascii="微软雅黑" w:eastAsia="微软雅黑" w:hAnsi="微软雅黑"/>
          <w:sz w:val="21"/>
        </w:rPr>
      </w:pPr>
      <w:r>
        <w:rPr>
          <w:rFonts w:ascii="微软雅黑" w:eastAsia="微软雅黑" w:hAnsi="微软雅黑" w:hint="eastAsia"/>
          <w:sz w:val="21"/>
        </w:rPr>
        <w:t>动态计算区间：</w:t>
      </w:r>
      <w:r>
        <w:rPr>
          <w:rFonts w:ascii="微软雅黑" w:eastAsia="微软雅黑" w:hAnsi="微软雅黑"/>
          <w:sz w:val="21"/>
        </w:rPr>
        <w:t>1</w:t>
      </w:r>
      <w:r>
        <w:rPr>
          <w:rFonts w:ascii="微软雅黑" w:eastAsia="微软雅黑" w:hAnsi="微软雅黑" w:hint="eastAsia"/>
          <w:sz w:val="21"/>
        </w:rPr>
        <w:t>月</w:t>
      </w:r>
      <w:r>
        <w:rPr>
          <w:rFonts w:ascii="微软雅黑" w:eastAsia="微软雅黑" w:hAnsi="微软雅黑"/>
          <w:sz w:val="21"/>
        </w:rPr>
        <w:t>1</w:t>
      </w:r>
      <w:r>
        <w:rPr>
          <w:rFonts w:ascii="微软雅黑" w:eastAsia="微软雅黑" w:hAnsi="微软雅黑" w:hint="eastAsia"/>
          <w:sz w:val="21"/>
        </w:rPr>
        <w:t>日至</w:t>
      </w:r>
      <w:r>
        <w:rPr>
          <w:rFonts w:ascii="微软雅黑" w:eastAsia="微软雅黑" w:hAnsi="微软雅黑"/>
          <w:sz w:val="21"/>
        </w:rPr>
        <w:t>12</w:t>
      </w:r>
      <w:r>
        <w:rPr>
          <w:rFonts w:ascii="微软雅黑" w:eastAsia="微软雅黑" w:hAnsi="微软雅黑" w:hint="eastAsia"/>
          <w:sz w:val="21"/>
        </w:rPr>
        <w:t>月</w:t>
      </w:r>
      <w:r>
        <w:rPr>
          <w:rFonts w:ascii="微软雅黑" w:eastAsia="微软雅黑" w:hAnsi="微软雅黑"/>
          <w:sz w:val="21"/>
        </w:rPr>
        <w:t>31</w:t>
      </w:r>
      <w:r>
        <w:rPr>
          <w:rFonts w:ascii="微软雅黑" w:eastAsia="微软雅黑" w:hAnsi="微软雅黑" w:hint="eastAsia"/>
          <w:sz w:val="21"/>
        </w:rPr>
        <w:t>日</w:t>
      </w:r>
    </w:p>
    <w:p w:rsidR="00000000" w:rsidRDefault="007432ED">
      <w:pPr>
        <w:pStyle w:val="2"/>
        <w:spacing w:before="150" w:after="150"/>
        <w:jc w:val="both"/>
        <w:rPr>
          <w:rFonts w:ascii="微软雅黑" w:eastAsia="微软雅黑" w:hAnsi="微软雅黑"/>
          <w:b/>
          <w:spacing w:val="20"/>
        </w:rPr>
      </w:pPr>
      <w:r>
        <w:rPr>
          <w:rFonts w:ascii="微软雅黑" w:eastAsia="微软雅黑" w:hAnsi="微软雅黑"/>
          <w:b/>
          <w:spacing w:val="20"/>
        </w:rPr>
        <w:t xml:space="preserve">4.2 </w:t>
      </w:r>
      <w:r>
        <w:rPr>
          <w:rFonts w:ascii="微软雅黑" w:eastAsia="微软雅黑" w:hAnsi="微软雅黑" w:hint="eastAsia"/>
          <w:b/>
          <w:spacing w:val="20"/>
        </w:rPr>
        <w:t>模拟结果</w:t>
      </w:r>
    </w:p>
    <w:p w:rsidR="00000000" w:rsidRDefault="007432ED">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4.2.1 </w:t>
      </w:r>
      <w:r>
        <w:rPr>
          <w:rFonts w:ascii="微软雅黑" w:eastAsia="微软雅黑" w:hAnsi="微软雅黑" w:hint="eastAsia"/>
          <w:b/>
          <w:spacing w:val="20"/>
        </w:rPr>
        <w:t>窗地面积比</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 xml:space="preserve">4 </w:t>
      </w:r>
      <w:r>
        <w:rPr>
          <w:rFonts w:ascii="宋体" w:hAnsi="宋体" w:hint="eastAsia"/>
          <w:sz w:val="20"/>
        </w:rPr>
        <w:t>本项目功能房间窗地面积比</w:t>
      </w:r>
    </w:p>
    <w:tbl>
      <w:tblPr>
        <w:tblW w:w="0" w:type="auto"/>
        <w:jc w:val="center"/>
        <w:tblLayout w:type="fixed"/>
        <w:tblLook w:val="0000" w:firstRow="0" w:lastRow="0" w:firstColumn="0" w:lastColumn="0" w:noHBand="0" w:noVBand="0"/>
      </w:tblPr>
      <w:tblGrid>
        <w:gridCol w:w="1400"/>
        <w:gridCol w:w="1400"/>
        <w:gridCol w:w="1050"/>
        <w:gridCol w:w="1050"/>
        <w:gridCol w:w="1450"/>
        <w:gridCol w:w="1450"/>
        <w:gridCol w:w="1250"/>
      </w:tblGrid>
      <w:tr w:rsidR="00000000">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层数</w:t>
            </w:r>
          </w:p>
        </w:tc>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户型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房间名称</w:t>
            </w:r>
          </w:p>
        </w:tc>
        <w:tc>
          <w:tcPr>
            <w:tcW w:w="14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地面面积（㎡）</w:t>
            </w:r>
          </w:p>
        </w:tc>
        <w:tc>
          <w:tcPr>
            <w:tcW w:w="14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外窗面积（㎡）</w:t>
            </w:r>
          </w:p>
        </w:tc>
        <w:tc>
          <w:tcPr>
            <w:tcW w:w="12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窗地面积比</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楼层</w:t>
            </w:r>
            <w:r>
              <w:rPr>
                <w:rFonts w:eastAsia="Times New Roman"/>
                <w:sz w:val="18"/>
              </w:rPr>
              <w:t>1</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_CA01001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18.28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34.7%</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76.18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RM01016</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29.53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21.5%</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10.84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2.16</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19.9%</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18.50</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34.3%</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RM01007</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15.90</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2.16</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13.6%</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RM01009</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161.79</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15.36</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9.5%</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w:t>
            </w:r>
            <w:r>
              <w:rPr>
                <w:rFonts w:ascii="宋体" w:hAnsi="宋体" w:hint="eastAsia"/>
                <w:sz w:val="18"/>
              </w:rPr>
              <w:t>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18.33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5.69</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31.0%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210.31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27.65</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13.1%</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18.11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35.0%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RM01015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27.59</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5.91</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21.4%</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10.67</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2.16</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20.2%</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RM01006</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67.98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7.09</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10.4%</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22.09</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3.60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16.3%</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RM01019</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37.14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18.11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35.0%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225.11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8.64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3.8%</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RM01021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21.42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2.70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12.6%</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22.15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2.88</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RM01026</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33.18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2.16</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6.5%</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RM01020</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36.94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3.96</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10.7%</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33.18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2.16</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6.5%</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22.15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2.88</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13.0%</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楼层</w:t>
            </w:r>
            <w:r>
              <w:rPr>
                <w:rFonts w:eastAsia="Times New Roman"/>
                <w:sz w:val="18"/>
              </w:rPr>
              <w:t>2</w:t>
            </w: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_CA02001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18.28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34.7%</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RM02021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10.77</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1.37</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12.7%</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RM02010</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18.57</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RM02019</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22.15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2.88</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RM02017</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21.42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2.70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12.6%</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18.50</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34.3%</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RM02016</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11.94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3.55</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29.7%</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78.32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3.24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4.1%</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10.95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3.82</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34.9%</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18.33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5.69</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31.0%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RM02013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27.59</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6.5%</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RM02004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50.53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2.52</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RM02006</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18.11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35.0%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22.15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2.88</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RM02014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29.53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4.68</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15.9%</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楼层</w:t>
            </w:r>
            <w:r>
              <w:rPr>
                <w:rFonts w:eastAsia="Times New Roman"/>
                <w:sz w:val="18"/>
              </w:rPr>
              <w:t>3</w:t>
            </w: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RM03008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55.98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8.10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14.5%</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RM03009</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18.33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5.69</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31.0%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18.28</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34.7%</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RM03010</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18.57</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18.50</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34.3%</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RM03007</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18.11</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6.34</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35.0%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w:t>
            </w:r>
            <w:r>
              <w:rPr>
                <w:rFonts w:ascii="宋体" w:hAnsi="宋体" w:hint="eastAsia"/>
                <w:sz w:val="18"/>
              </w:rPr>
              <w:t>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RM03004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50.53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2.52</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lastRenderedPageBreak/>
              <w:t>RM03013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lastRenderedPageBreak/>
              <w:t>29.53</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4.68</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15.9%</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RM03012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27.59</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4.05</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14.7%</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22.15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2.88</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RM03016</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22.15</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2.88</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RM03014</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21.42</w:t>
            </w:r>
          </w:p>
        </w:tc>
        <w:tc>
          <w:tcPr>
            <w:tcW w:w="14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2.70</w:t>
            </w:r>
          </w:p>
        </w:tc>
        <w:tc>
          <w:tcPr>
            <w:tcW w:w="12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12.6%</w:t>
            </w:r>
          </w:p>
        </w:tc>
      </w:tr>
    </w:tbl>
    <w:p w:rsidR="00000000" w:rsidRDefault="007432ED">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4.2.2 </w:t>
      </w:r>
      <w:r>
        <w:rPr>
          <w:rFonts w:ascii="微软雅黑" w:eastAsia="微软雅黑" w:hAnsi="微软雅黑" w:hint="eastAsia"/>
          <w:b/>
          <w:spacing w:val="20"/>
        </w:rPr>
        <w:t>采光照度达标小时数</w:t>
      </w:r>
    </w:p>
    <w:p w:rsidR="00000000" w:rsidRDefault="007432ED">
      <w:pPr>
        <w:spacing w:line="400" w:lineRule="atLeast"/>
        <w:jc w:val="both"/>
        <w:rPr>
          <w:rFonts w:ascii="微软雅黑" w:eastAsia="微软雅黑" w:hAnsi="微软雅黑"/>
          <w:sz w:val="21"/>
        </w:rPr>
      </w:pPr>
      <w:r>
        <w:rPr>
          <w:rFonts w:ascii="微软雅黑" w:eastAsia="微软雅黑" w:hAnsi="微软雅黑"/>
          <w:sz w:val="21"/>
        </w:rPr>
        <w:t>1</w:t>
      </w:r>
      <w:r>
        <w:rPr>
          <w:rFonts w:ascii="微软雅黑" w:eastAsia="微软雅黑" w:hAnsi="微软雅黑" w:hint="eastAsia"/>
          <w:sz w:val="21"/>
        </w:rPr>
        <w:t>、</w:t>
      </w:r>
      <w:r>
        <w:rPr>
          <w:rFonts w:ascii="微软雅黑" w:eastAsia="微软雅黑" w:hAnsi="微软雅黑"/>
          <w:sz w:val="21"/>
        </w:rPr>
        <w:t xml:space="preserve"> 1</w:t>
      </w:r>
    </w:p>
    <w:p w:rsidR="00000000" w:rsidRDefault="007432ED">
      <w:pPr>
        <w:spacing w:before="20" w:after="20"/>
        <w:jc w:val="center"/>
      </w:pPr>
      <w:r>
        <w:pict>
          <v:shape id="图片 5" o:spid="_x0000_i1028" type="#_x0000_t75" style="width:312pt;height:234pt;mso-wrap-style:square;mso-position-horizontal-relative:page;mso-position-vertical-relative:page">
            <v:imagedata r:id="rId10"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2 1</w:t>
      </w:r>
      <w:r>
        <w:rPr>
          <w:rFonts w:ascii="宋体" w:hAnsi="宋体" w:hint="eastAsia"/>
          <w:sz w:val="20"/>
        </w:rPr>
        <w:t>平面图</w:t>
      </w:r>
    </w:p>
    <w:p w:rsidR="00000000" w:rsidRDefault="007432ED">
      <w:pPr>
        <w:spacing w:before="20" w:after="20"/>
        <w:jc w:val="center"/>
      </w:pPr>
      <w:r>
        <w:lastRenderedPageBreak/>
        <w:pict>
          <v:shape id="图片 6" o:spid="_x0000_i1029" type="#_x0000_t75" style="width:331.8pt;height:287.4pt;mso-position-horizontal-relative:page;mso-position-vertical-relative:page">
            <v:fill o:detectmouseclick="t"/>
            <v:imagedata r:id="rId11" o:title="图片1"/>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3 1</w:t>
      </w:r>
      <w:r>
        <w:rPr>
          <w:rFonts w:ascii="宋体" w:hAnsi="宋体" w:hint="eastAsia"/>
          <w:sz w:val="20"/>
        </w:rPr>
        <w:t>照度达标</w:t>
      </w:r>
      <w:r>
        <w:rPr>
          <w:rFonts w:ascii="宋体" w:hAnsi="宋体" w:hint="eastAsia"/>
          <w:sz w:val="20"/>
        </w:rPr>
        <w:t>小时数分布图</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5 1</w:t>
      </w:r>
      <w:r>
        <w:rPr>
          <w:rFonts w:ascii="宋体" w:hAnsi="宋体" w:hint="eastAsia"/>
          <w:sz w:val="20"/>
        </w:rPr>
        <w:t>主要功能空间照度达标小时数统计表</w:t>
      </w:r>
    </w:p>
    <w:tbl>
      <w:tblPr>
        <w:tblW w:w="0" w:type="auto"/>
        <w:jc w:val="center"/>
        <w:tblLayout w:type="fixed"/>
        <w:tblLook w:val="0000" w:firstRow="0" w:lastRow="0" w:firstColumn="0" w:lastColumn="0" w:noHBand="0" w:noVBand="0"/>
      </w:tblPr>
      <w:tblGrid>
        <w:gridCol w:w="1400"/>
        <w:gridCol w:w="1050"/>
        <w:gridCol w:w="1050"/>
        <w:gridCol w:w="1050"/>
        <w:gridCol w:w="1050"/>
        <w:gridCol w:w="800"/>
        <w:gridCol w:w="1100"/>
        <w:gridCol w:w="2000"/>
        <w:gridCol w:w="1050"/>
      </w:tblGrid>
      <w:tr w:rsidR="00000000">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房间名称</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采光类型</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照度</w:t>
            </w:r>
            <w:r>
              <w:rPr>
                <w:rFonts w:ascii="宋体" w:hAnsi="宋体"/>
                <w:b/>
                <w:sz w:val="18"/>
              </w:rPr>
              <w:br/>
            </w:r>
            <w:r>
              <w:rPr>
                <w:rFonts w:ascii="宋体" w:hAnsi="宋体" w:hint="eastAsia"/>
                <w:b/>
                <w:sz w:val="18"/>
              </w:rPr>
              <w:t>标准值</w:t>
            </w:r>
            <w:r>
              <w:rPr>
                <w:rFonts w:ascii="宋体" w:hAnsi="宋体"/>
                <w:b/>
                <w:sz w:val="18"/>
              </w:rPr>
              <w:br/>
            </w:r>
            <w:r>
              <w:rPr>
                <w:rFonts w:ascii="宋体" w:hAnsi="宋体" w:hint="eastAsia"/>
                <w:b/>
                <w:sz w:val="18"/>
              </w:rPr>
              <w:t>（</w:t>
            </w:r>
            <w:r>
              <w:rPr>
                <w:rFonts w:eastAsia="Times New Roman"/>
                <w:b/>
                <w:sz w:val="18"/>
              </w:rPr>
              <w:t>lx</w:t>
            </w:r>
            <w:r>
              <w:rPr>
                <w:rFonts w:ascii="宋体" w:hAnsi="宋体" w:hint="eastAsia"/>
                <w:b/>
                <w:sz w:val="18"/>
              </w:rPr>
              <w:t>）</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照度达标的</w:t>
            </w:r>
            <w:r>
              <w:rPr>
                <w:rFonts w:ascii="宋体" w:hAnsi="宋体"/>
                <w:b/>
                <w:sz w:val="18"/>
              </w:rPr>
              <w:br/>
            </w:r>
            <w:r>
              <w:rPr>
                <w:rFonts w:ascii="宋体" w:hAnsi="宋体" w:hint="eastAsia"/>
                <w:b/>
                <w:sz w:val="18"/>
              </w:rPr>
              <w:t>平均小时数</w:t>
            </w:r>
            <w:r>
              <w:rPr>
                <w:rFonts w:ascii="宋体" w:hAnsi="宋体"/>
                <w:b/>
                <w:sz w:val="18"/>
              </w:rPr>
              <w:br/>
            </w:r>
            <w:r>
              <w:rPr>
                <w:rFonts w:ascii="宋体" w:hAnsi="宋体" w:hint="eastAsia"/>
                <w:b/>
                <w:sz w:val="18"/>
              </w:rPr>
              <w:t>（</w:t>
            </w:r>
            <w:r>
              <w:rPr>
                <w:rFonts w:eastAsia="Times New Roman"/>
                <w:b/>
                <w:sz w:val="18"/>
              </w:rPr>
              <w:t>h/d</w:t>
            </w:r>
            <w:r>
              <w:rPr>
                <w:rFonts w:ascii="宋体" w:hAnsi="宋体" w:hint="eastAsia"/>
                <w:b/>
                <w:sz w:val="18"/>
              </w:rPr>
              <w:t>）</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照度达标的平均小时数不少于</w:t>
            </w:r>
            <w:r>
              <w:rPr>
                <w:rFonts w:eastAsia="Times New Roman"/>
                <w:b/>
                <w:sz w:val="18"/>
              </w:rPr>
              <w:t>4h/d</w:t>
            </w:r>
            <w:r>
              <w:rPr>
                <w:rFonts w:ascii="宋体" w:hAnsi="宋体" w:hint="eastAsia"/>
                <w:b/>
                <w:sz w:val="18"/>
              </w:rPr>
              <w:t>的面积达标比例（</w:t>
            </w:r>
            <w:r>
              <w:rPr>
                <w:rFonts w:eastAsia="Times New Roman"/>
                <w:b/>
                <w:sz w:val="18"/>
              </w:rPr>
              <w:t>%</w:t>
            </w:r>
            <w:r>
              <w:rPr>
                <w:rFonts w:ascii="宋体" w:hAnsi="宋体" w:hint="eastAsia"/>
                <w:b/>
                <w:sz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是否满足</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_CA01001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75.0</w:t>
            </w: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61.7%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48.6%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w:t>
            </w:r>
            <w:r>
              <w:rPr>
                <w:rFonts w:ascii="宋体" w:hAnsi="宋体" w:hint="eastAsia"/>
                <w:sz w:val="18"/>
              </w:rPr>
              <w:lastRenderedPageBreak/>
              <w:t>办公室</w:t>
            </w:r>
            <w:r>
              <w:rPr>
                <w:rFonts w:eastAsia="Times New Roman"/>
                <w:sz w:val="18"/>
              </w:rPr>
              <w:t>RM01014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lastRenderedPageBreak/>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RM01015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53.9%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37.2%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85.4%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75.0</w:t>
            </w: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RM01021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75.0</w:t>
            </w: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44.8%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75.0</w:t>
            </w: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7</w:t>
            </w:r>
            <w:r>
              <w:rPr>
                <w:rFonts w:eastAsia="Times New Roman"/>
                <w:sz w:val="18"/>
              </w:rPr>
              <w:t>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75.0</w:t>
            </w: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47.9%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bl>
    <w:p w:rsidR="00000000" w:rsidRDefault="007432ED">
      <w:pPr>
        <w:spacing w:before="20" w:after="20"/>
        <w:jc w:val="center"/>
      </w:pPr>
      <w:r>
        <w:pict>
          <v:shape id="图片 7" o:spid="_x0000_i1030" type="#_x0000_t75" style="width:331.8pt;height:162.6pt;mso-wrap-style:square;mso-position-horizontal-relative:page;mso-position-vertical-relative:page">
            <v:imagedata r:id="rId12"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4 1</w:t>
      </w:r>
      <w:r>
        <w:rPr>
          <w:rFonts w:ascii="宋体" w:hAnsi="宋体" w:hint="eastAsia"/>
          <w:sz w:val="20"/>
        </w:rPr>
        <w:t>逐日达标小时数图</w:t>
      </w:r>
    </w:p>
    <w:p w:rsidR="00000000" w:rsidRDefault="007432ED">
      <w:pPr>
        <w:spacing w:line="400" w:lineRule="atLeast"/>
        <w:jc w:val="both"/>
        <w:rPr>
          <w:rFonts w:ascii="微软雅黑" w:eastAsia="微软雅黑" w:hAnsi="微软雅黑"/>
          <w:sz w:val="21"/>
        </w:rPr>
      </w:pPr>
      <w:r>
        <w:rPr>
          <w:rFonts w:ascii="微软雅黑" w:eastAsia="微软雅黑" w:hAnsi="微软雅黑"/>
          <w:sz w:val="21"/>
        </w:rPr>
        <w:t>2</w:t>
      </w:r>
      <w:r>
        <w:rPr>
          <w:rFonts w:ascii="微软雅黑" w:eastAsia="微软雅黑" w:hAnsi="微软雅黑" w:hint="eastAsia"/>
          <w:sz w:val="21"/>
        </w:rPr>
        <w:t>、</w:t>
      </w:r>
      <w:r>
        <w:rPr>
          <w:rFonts w:ascii="微软雅黑" w:eastAsia="微软雅黑" w:hAnsi="微软雅黑"/>
          <w:sz w:val="21"/>
        </w:rPr>
        <w:t xml:space="preserve"> 2</w:t>
      </w:r>
    </w:p>
    <w:p w:rsidR="00000000" w:rsidRDefault="007432ED">
      <w:pPr>
        <w:spacing w:before="20" w:after="20"/>
        <w:jc w:val="center"/>
      </w:pPr>
      <w:r>
        <w:lastRenderedPageBreak/>
        <w:pict>
          <v:shape id="图片 8" o:spid="_x0000_i1031" type="#_x0000_t75" style="width:312pt;height:234pt;mso-wrap-style:square;mso-position-horizontal-relative:page;mso-position-vertical-relative:page">
            <v:imagedata r:id="rId13"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5 2</w:t>
      </w:r>
      <w:r>
        <w:rPr>
          <w:rFonts w:ascii="宋体" w:hAnsi="宋体" w:hint="eastAsia"/>
          <w:sz w:val="20"/>
        </w:rPr>
        <w:t>平面图</w:t>
      </w:r>
    </w:p>
    <w:p w:rsidR="00000000" w:rsidRDefault="007432ED">
      <w:pPr>
        <w:spacing w:before="20" w:after="20"/>
        <w:jc w:val="center"/>
      </w:pPr>
      <w:r>
        <w:pict>
          <v:shape id="图片 9" o:spid="_x0000_i1032" type="#_x0000_t75" style="width:331.8pt;height:315pt;mso-wrap-style:square;mso-position-horizontal-relative:page;mso-position-vertical-relative:page">
            <v:imagedata r:id="rId14"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6 2</w:t>
      </w:r>
      <w:r>
        <w:rPr>
          <w:rFonts w:ascii="宋体" w:hAnsi="宋体" w:hint="eastAsia"/>
          <w:sz w:val="20"/>
        </w:rPr>
        <w:t>照度达标小时数分布图</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6 2</w:t>
      </w:r>
      <w:r>
        <w:rPr>
          <w:rFonts w:ascii="宋体" w:hAnsi="宋体" w:hint="eastAsia"/>
          <w:sz w:val="20"/>
        </w:rPr>
        <w:t>主要功能空间照度达标小时数统计表</w:t>
      </w:r>
    </w:p>
    <w:tbl>
      <w:tblPr>
        <w:tblW w:w="0" w:type="auto"/>
        <w:jc w:val="center"/>
        <w:tblLayout w:type="fixed"/>
        <w:tblLook w:val="0000" w:firstRow="0" w:lastRow="0" w:firstColumn="0" w:lastColumn="0" w:noHBand="0" w:noVBand="0"/>
      </w:tblPr>
      <w:tblGrid>
        <w:gridCol w:w="1400"/>
        <w:gridCol w:w="1050"/>
        <w:gridCol w:w="1050"/>
        <w:gridCol w:w="1050"/>
        <w:gridCol w:w="1050"/>
        <w:gridCol w:w="800"/>
        <w:gridCol w:w="1100"/>
        <w:gridCol w:w="2000"/>
        <w:gridCol w:w="1050"/>
      </w:tblGrid>
      <w:tr w:rsidR="00000000">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房间名称</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采光类型</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照度</w:t>
            </w:r>
            <w:r>
              <w:rPr>
                <w:rFonts w:ascii="宋体" w:hAnsi="宋体"/>
                <w:b/>
                <w:sz w:val="18"/>
              </w:rPr>
              <w:br/>
            </w:r>
            <w:r>
              <w:rPr>
                <w:rFonts w:ascii="宋体" w:hAnsi="宋体" w:hint="eastAsia"/>
                <w:b/>
                <w:sz w:val="18"/>
              </w:rPr>
              <w:t>标准值</w:t>
            </w:r>
            <w:r>
              <w:rPr>
                <w:rFonts w:ascii="宋体" w:hAnsi="宋体"/>
                <w:b/>
                <w:sz w:val="18"/>
              </w:rPr>
              <w:br/>
            </w:r>
            <w:r>
              <w:rPr>
                <w:rFonts w:ascii="宋体" w:hAnsi="宋体" w:hint="eastAsia"/>
                <w:b/>
                <w:sz w:val="18"/>
              </w:rPr>
              <w:t>（</w:t>
            </w:r>
            <w:r>
              <w:rPr>
                <w:rFonts w:eastAsia="Times New Roman"/>
                <w:b/>
                <w:sz w:val="18"/>
              </w:rPr>
              <w:t>lx</w:t>
            </w:r>
            <w:r>
              <w:rPr>
                <w:rFonts w:ascii="宋体" w:hAnsi="宋体" w:hint="eastAsia"/>
                <w:b/>
                <w:sz w:val="18"/>
              </w:rPr>
              <w:t>）</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照度达标的</w:t>
            </w:r>
            <w:r>
              <w:rPr>
                <w:rFonts w:ascii="宋体" w:hAnsi="宋体"/>
                <w:b/>
                <w:sz w:val="18"/>
              </w:rPr>
              <w:br/>
            </w:r>
            <w:r>
              <w:rPr>
                <w:rFonts w:ascii="宋体" w:hAnsi="宋体" w:hint="eastAsia"/>
                <w:b/>
                <w:sz w:val="18"/>
              </w:rPr>
              <w:t>平均小时数</w:t>
            </w:r>
            <w:r>
              <w:rPr>
                <w:rFonts w:ascii="宋体" w:hAnsi="宋体"/>
                <w:b/>
                <w:sz w:val="18"/>
              </w:rPr>
              <w:br/>
            </w:r>
            <w:r>
              <w:rPr>
                <w:rFonts w:ascii="宋体" w:hAnsi="宋体" w:hint="eastAsia"/>
                <w:b/>
                <w:sz w:val="18"/>
              </w:rPr>
              <w:t>（</w:t>
            </w:r>
            <w:r>
              <w:rPr>
                <w:rFonts w:eastAsia="Times New Roman"/>
                <w:b/>
                <w:sz w:val="18"/>
              </w:rPr>
              <w:t>h/d</w:t>
            </w:r>
            <w:r>
              <w:rPr>
                <w:rFonts w:ascii="宋体" w:hAnsi="宋体" w:hint="eastAsia"/>
                <w:b/>
                <w:sz w:val="18"/>
              </w:rPr>
              <w:t>）</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照度达标的平均小时数不少于</w:t>
            </w:r>
            <w:r>
              <w:rPr>
                <w:rFonts w:eastAsia="Times New Roman"/>
                <w:b/>
                <w:sz w:val="18"/>
              </w:rPr>
              <w:t>4h/d</w:t>
            </w:r>
            <w:r>
              <w:rPr>
                <w:rFonts w:ascii="宋体" w:hAnsi="宋体" w:hint="eastAsia"/>
                <w:b/>
                <w:sz w:val="18"/>
              </w:rPr>
              <w:t>的面积达标比例（</w:t>
            </w:r>
            <w:r>
              <w:rPr>
                <w:rFonts w:eastAsia="Times New Roman"/>
                <w:b/>
                <w:sz w:val="18"/>
              </w:rPr>
              <w:t>%</w:t>
            </w:r>
            <w:r>
              <w:rPr>
                <w:rFonts w:ascii="宋体" w:hAnsi="宋体" w:hint="eastAsia"/>
                <w:b/>
                <w:sz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是否满足</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_CA02001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lastRenderedPageBreak/>
              <w:t>RM02001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lastRenderedPageBreak/>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RM02021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RM02010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37.5%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89.3%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RM02013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w:t>
            </w:r>
            <w:r>
              <w:rPr>
                <w:rFonts w:ascii="宋体" w:hAnsi="宋体" w:hint="eastAsia"/>
                <w:sz w:val="18"/>
              </w:rPr>
              <w:t>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21.1%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12.0%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43.7%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RM02014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57.8%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bl>
    <w:p w:rsidR="00000000" w:rsidRDefault="007432ED">
      <w:pPr>
        <w:spacing w:before="20" w:after="20"/>
        <w:jc w:val="center"/>
      </w:pPr>
      <w:r>
        <w:pict>
          <v:shape id="图片 10" o:spid="_x0000_i1033" type="#_x0000_t75" style="width:331.8pt;height:162.6pt;mso-wrap-style:square;mso-position-horizontal-relative:page;mso-position-vertical-relative:page">
            <v:imagedata r:id="rId15"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7 2</w:t>
      </w:r>
      <w:r>
        <w:rPr>
          <w:rFonts w:ascii="宋体" w:hAnsi="宋体" w:hint="eastAsia"/>
          <w:sz w:val="20"/>
        </w:rPr>
        <w:t>逐日达标小时数图</w:t>
      </w:r>
    </w:p>
    <w:p w:rsidR="00000000" w:rsidRDefault="007432ED">
      <w:pPr>
        <w:spacing w:line="400" w:lineRule="atLeast"/>
        <w:jc w:val="both"/>
        <w:rPr>
          <w:rFonts w:ascii="微软雅黑" w:eastAsia="微软雅黑" w:hAnsi="微软雅黑"/>
          <w:sz w:val="21"/>
        </w:rPr>
      </w:pPr>
      <w:r>
        <w:rPr>
          <w:rFonts w:ascii="微软雅黑" w:eastAsia="微软雅黑" w:hAnsi="微软雅黑"/>
          <w:sz w:val="21"/>
        </w:rPr>
        <w:t>3</w:t>
      </w:r>
      <w:r>
        <w:rPr>
          <w:rFonts w:ascii="微软雅黑" w:eastAsia="微软雅黑" w:hAnsi="微软雅黑" w:hint="eastAsia"/>
          <w:sz w:val="21"/>
        </w:rPr>
        <w:t>、</w:t>
      </w:r>
      <w:r>
        <w:rPr>
          <w:rFonts w:ascii="微软雅黑" w:eastAsia="微软雅黑" w:hAnsi="微软雅黑"/>
          <w:sz w:val="21"/>
        </w:rPr>
        <w:t xml:space="preserve"> 3</w:t>
      </w:r>
    </w:p>
    <w:p w:rsidR="00000000" w:rsidRDefault="007432ED">
      <w:pPr>
        <w:spacing w:before="20" w:after="20"/>
        <w:jc w:val="center"/>
      </w:pPr>
      <w:r>
        <w:lastRenderedPageBreak/>
        <w:pict>
          <v:shape id="图片 11" o:spid="_x0000_i1034" type="#_x0000_t75" style="width:312pt;height:234pt;mso-wrap-style:square;mso-position-horizontal-relative:page;mso-position-vertical-relative:page">
            <v:imagedata r:id="rId16"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8 3</w:t>
      </w:r>
      <w:r>
        <w:rPr>
          <w:rFonts w:ascii="宋体" w:hAnsi="宋体" w:hint="eastAsia"/>
          <w:sz w:val="20"/>
        </w:rPr>
        <w:t>平面图</w:t>
      </w:r>
    </w:p>
    <w:p w:rsidR="00000000" w:rsidRDefault="007432ED">
      <w:pPr>
        <w:spacing w:before="20" w:after="20"/>
        <w:jc w:val="center"/>
      </w:pPr>
      <w:r>
        <w:pict>
          <v:shape id="图片 12" o:spid="_x0000_i1035" type="#_x0000_t75" style="width:331.8pt;height:315pt;mso-wrap-style:square;mso-position-horizontal-relative:page;mso-position-vertical-relative:page">
            <v:imagedata r:id="rId17"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9 3</w:t>
      </w:r>
      <w:r>
        <w:rPr>
          <w:rFonts w:ascii="宋体" w:hAnsi="宋体" w:hint="eastAsia"/>
          <w:sz w:val="20"/>
        </w:rPr>
        <w:t>照度达标小时数分布图</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7 3</w:t>
      </w:r>
      <w:r>
        <w:rPr>
          <w:rFonts w:ascii="宋体" w:hAnsi="宋体" w:hint="eastAsia"/>
          <w:sz w:val="20"/>
        </w:rPr>
        <w:t>主要功能空间照度达标小时数统计表</w:t>
      </w:r>
    </w:p>
    <w:tbl>
      <w:tblPr>
        <w:tblW w:w="0" w:type="auto"/>
        <w:jc w:val="center"/>
        <w:tblLayout w:type="fixed"/>
        <w:tblLook w:val="0000" w:firstRow="0" w:lastRow="0" w:firstColumn="0" w:lastColumn="0" w:noHBand="0" w:noVBand="0"/>
      </w:tblPr>
      <w:tblGrid>
        <w:gridCol w:w="1400"/>
        <w:gridCol w:w="1050"/>
        <w:gridCol w:w="1050"/>
        <w:gridCol w:w="1050"/>
        <w:gridCol w:w="1050"/>
        <w:gridCol w:w="800"/>
        <w:gridCol w:w="1100"/>
        <w:gridCol w:w="2000"/>
        <w:gridCol w:w="1050"/>
      </w:tblGrid>
      <w:tr w:rsidR="00000000">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房间名称</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采光类型</w:t>
            </w:r>
          </w:p>
        </w:tc>
        <w:tc>
          <w:tcPr>
            <w:tcW w:w="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照度</w:t>
            </w:r>
            <w:r>
              <w:rPr>
                <w:rFonts w:ascii="宋体" w:hAnsi="宋体"/>
                <w:b/>
                <w:sz w:val="18"/>
              </w:rPr>
              <w:br/>
            </w:r>
            <w:r>
              <w:rPr>
                <w:rFonts w:ascii="宋体" w:hAnsi="宋体" w:hint="eastAsia"/>
                <w:b/>
                <w:sz w:val="18"/>
              </w:rPr>
              <w:t>标准值</w:t>
            </w:r>
            <w:r>
              <w:rPr>
                <w:rFonts w:ascii="宋体" w:hAnsi="宋体"/>
                <w:b/>
                <w:sz w:val="18"/>
              </w:rPr>
              <w:br/>
            </w:r>
            <w:r>
              <w:rPr>
                <w:rFonts w:ascii="宋体" w:hAnsi="宋体" w:hint="eastAsia"/>
                <w:b/>
                <w:sz w:val="18"/>
              </w:rPr>
              <w:t>（</w:t>
            </w:r>
            <w:r>
              <w:rPr>
                <w:rFonts w:eastAsia="Times New Roman"/>
                <w:b/>
                <w:sz w:val="18"/>
              </w:rPr>
              <w:t>lx</w:t>
            </w:r>
            <w:r>
              <w:rPr>
                <w:rFonts w:ascii="宋体" w:hAnsi="宋体" w:hint="eastAsia"/>
                <w:b/>
                <w:sz w:val="18"/>
              </w:rPr>
              <w:t>）</w:t>
            </w:r>
          </w:p>
        </w:tc>
        <w:tc>
          <w:tcPr>
            <w:tcW w:w="11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照度达标的</w:t>
            </w:r>
            <w:r>
              <w:rPr>
                <w:rFonts w:ascii="宋体" w:hAnsi="宋体"/>
                <w:b/>
                <w:sz w:val="18"/>
              </w:rPr>
              <w:br/>
            </w:r>
            <w:r>
              <w:rPr>
                <w:rFonts w:ascii="宋体" w:hAnsi="宋体" w:hint="eastAsia"/>
                <w:b/>
                <w:sz w:val="18"/>
              </w:rPr>
              <w:t>平均小时数</w:t>
            </w:r>
            <w:r>
              <w:rPr>
                <w:rFonts w:ascii="宋体" w:hAnsi="宋体"/>
                <w:b/>
                <w:sz w:val="18"/>
              </w:rPr>
              <w:br/>
            </w:r>
            <w:r>
              <w:rPr>
                <w:rFonts w:ascii="宋体" w:hAnsi="宋体" w:hint="eastAsia"/>
                <w:b/>
                <w:sz w:val="18"/>
              </w:rPr>
              <w:t>（</w:t>
            </w:r>
            <w:r>
              <w:rPr>
                <w:rFonts w:eastAsia="Times New Roman"/>
                <w:b/>
                <w:sz w:val="18"/>
              </w:rPr>
              <w:t>h/d</w:t>
            </w:r>
            <w:r>
              <w:rPr>
                <w:rFonts w:ascii="宋体" w:hAnsi="宋体" w:hint="eastAsia"/>
                <w:b/>
                <w:sz w:val="18"/>
              </w:rPr>
              <w:t>）</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照度达标的平均小时数不少于</w:t>
            </w:r>
            <w:r>
              <w:rPr>
                <w:rFonts w:eastAsia="Times New Roman"/>
                <w:b/>
                <w:sz w:val="18"/>
              </w:rPr>
              <w:t>4h/d</w:t>
            </w:r>
            <w:r>
              <w:rPr>
                <w:rFonts w:ascii="宋体" w:hAnsi="宋体" w:hint="eastAsia"/>
                <w:b/>
                <w:sz w:val="18"/>
              </w:rPr>
              <w:t>的面积达标比例（</w:t>
            </w:r>
            <w:r>
              <w:rPr>
                <w:rFonts w:eastAsia="Times New Roman"/>
                <w:b/>
                <w:sz w:val="18"/>
              </w:rPr>
              <w:t>%</w:t>
            </w:r>
            <w:r>
              <w:rPr>
                <w:rFonts w:ascii="宋体" w:hAnsi="宋体" w:hint="eastAsia"/>
                <w:b/>
                <w:sz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是否满足</w:t>
            </w:r>
          </w:p>
        </w:tc>
      </w:tr>
      <w:tr w:rsidR="00000000">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w:t>
            </w:r>
            <w:r>
              <w:rPr>
                <w:rFonts w:ascii="宋体" w:hAnsi="宋体" w:hint="eastAsia"/>
                <w:sz w:val="18"/>
              </w:rPr>
              <w:t>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RM03008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75.4%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lastRenderedPageBreak/>
              <w:t>分户区</w:t>
            </w:r>
            <w:r>
              <w:rPr>
                <w:rFonts w:eastAsia="Times New Roman"/>
                <w:sz w:val="18"/>
              </w:rPr>
              <w:t>_CA03003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RM03010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w:t>
            </w:r>
            <w:r>
              <w:rPr>
                <w:rFonts w:ascii="宋体" w:hAnsi="宋体" w:hint="eastAsia"/>
                <w:sz w:val="18"/>
              </w:rPr>
              <w:t>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5</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71.1</w:t>
            </w: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RM03013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71.1%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RM03012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61.7%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满足</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43.7%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46.9%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450.0</w:t>
            </w:r>
          </w:p>
        </w:tc>
        <w:tc>
          <w:tcPr>
            <w:tcW w:w="11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37.5%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不满足</w:t>
            </w:r>
          </w:p>
        </w:tc>
      </w:tr>
    </w:tbl>
    <w:p w:rsidR="00000000" w:rsidRDefault="007432ED">
      <w:pPr>
        <w:spacing w:before="20" w:after="20"/>
        <w:jc w:val="center"/>
      </w:pPr>
      <w:r>
        <w:pict>
          <v:shape id="图片 13" o:spid="_x0000_i1036" type="#_x0000_t75" style="width:331.8pt;height:162.6pt;mso-wrap-style:square;mso-position-horizontal-relative:page;mso-position-vertical-relative:page">
            <v:imagedata r:id="rId18"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10 3</w:t>
      </w:r>
      <w:r>
        <w:rPr>
          <w:rFonts w:ascii="宋体" w:hAnsi="宋体" w:hint="eastAsia"/>
          <w:sz w:val="20"/>
        </w:rPr>
        <w:t>逐日达标小时数图</w:t>
      </w:r>
    </w:p>
    <w:p w:rsidR="00000000" w:rsidRDefault="007432ED">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4.2.3 </w:t>
      </w:r>
      <w:r>
        <w:rPr>
          <w:rFonts w:ascii="微软雅黑" w:eastAsia="微软雅黑" w:hAnsi="微软雅黑" w:hint="eastAsia"/>
          <w:b/>
          <w:spacing w:val="20"/>
        </w:rPr>
        <w:t>采光照度达标小时数汇总</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 xml:space="preserve">8 </w:t>
      </w:r>
      <w:r>
        <w:rPr>
          <w:rFonts w:ascii="宋体" w:hAnsi="宋体" w:hint="eastAsia"/>
          <w:sz w:val="20"/>
        </w:rPr>
        <w:t>采光照度达标小时数汇总表</w:t>
      </w:r>
    </w:p>
    <w:tbl>
      <w:tblPr>
        <w:tblW w:w="0" w:type="auto"/>
        <w:jc w:val="center"/>
        <w:tblLayout w:type="fixed"/>
        <w:tblLook w:val="0000" w:firstRow="0" w:lastRow="0" w:firstColumn="0" w:lastColumn="0" w:noHBand="0" w:noVBand="0"/>
      </w:tblPr>
      <w:tblGrid>
        <w:gridCol w:w="1000"/>
        <w:gridCol w:w="2000"/>
        <w:gridCol w:w="2000"/>
        <w:gridCol w:w="2000"/>
      </w:tblGrid>
      <w:tr w:rsidR="00000000">
        <w:trPr>
          <w:jc w:val="center"/>
        </w:trPr>
        <w:tc>
          <w:tcPr>
            <w:tcW w:w="1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楼层</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房间面积（㎡）</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eastAsia="Times New Roman"/>
                <w:b/>
                <w:sz w:val="18"/>
              </w:rPr>
              <w:t>4h/d</w:t>
            </w:r>
            <w:r>
              <w:rPr>
                <w:rFonts w:ascii="宋体" w:hAnsi="宋体"/>
                <w:b/>
                <w:sz w:val="18"/>
              </w:rPr>
              <w:br/>
            </w:r>
            <w:r>
              <w:rPr>
                <w:rFonts w:ascii="宋体" w:hAnsi="宋体" w:hint="eastAsia"/>
                <w:b/>
                <w:sz w:val="18"/>
              </w:rPr>
              <w:t>达标面积（㎡）</w:t>
            </w:r>
          </w:p>
        </w:tc>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eastAsia="Times New Roman"/>
                <w:b/>
                <w:sz w:val="18"/>
              </w:rPr>
              <w:t>4h/d</w:t>
            </w:r>
            <w:r>
              <w:rPr>
                <w:rFonts w:ascii="宋体" w:hAnsi="宋体"/>
                <w:b/>
                <w:sz w:val="18"/>
              </w:rPr>
              <w:br/>
            </w:r>
            <w:r>
              <w:rPr>
                <w:rFonts w:ascii="宋体" w:hAnsi="宋体" w:hint="eastAsia"/>
                <w:b/>
                <w:sz w:val="18"/>
              </w:rPr>
              <w:t>达标面积比例（</w:t>
            </w:r>
            <w:r>
              <w:rPr>
                <w:rFonts w:eastAsia="Times New Roman"/>
                <w:b/>
                <w:sz w:val="18"/>
              </w:rPr>
              <w:t>%</w:t>
            </w:r>
            <w:r>
              <w:rPr>
                <w:rFonts w:ascii="宋体" w:hAnsi="宋体" w:hint="eastAsia"/>
                <w:b/>
                <w:sz w:val="18"/>
              </w:rPr>
              <w:t>）</w:t>
            </w:r>
          </w:p>
        </w:tc>
      </w:tr>
      <w:tr w:rsidR="00000000">
        <w:trPr>
          <w:jc w:val="center"/>
        </w:trPr>
        <w:tc>
          <w:tcPr>
            <w:tcW w:w="1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1154.98</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698</w:t>
            </w:r>
            <w:r>
              <w:rPr>
                <w:rFonts w:eastAsia="Times New Roman"/>
                <w:sz w:val="18"/>
              </w:rPr>
              <w:t>.</w:t>
            </w:r>
            <w:r>
              <w:rPr>
                <w:sz w:val="18"/>
              </w:rPr>
              <w:t>76</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60.5</w:t>
            </w:r>
            <w:r>
              <w:rPr>
                <w:rFonts w:eastAsia="Times New Roman"/>
                <w:sz w:val="18"/>
              </w:rPr>
              <w:t>%</w:t>
            </w:r>
          </w:p>
        </w:tc>
      </w:tr>
      <w:tr w:rsidR="00000000">
        <w:trPr>
          <w:jc w:val="center"/>
        </w:trPr>
        <w:tc>
          <w:tcPr>
            <w:tcW w:w="1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377.13</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227</w:t>
            </w:r>
            <w:r>
              <w:rPr>
                <w:rFonts w:eastAsia="Times New Roman"/>
                <w:sz w:val="18"/>
              </w:rPr>
              <w:t>.</w:t>
            </w:r>
            <w:r>
              <w:rPr>
                <w:sz w:val="18"/>
              </w:rPr>
              <w:t>79</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60.4</w:t>
            </w:r>
            <w:r>
              <w:rPr>
                <w:rFonts w:eastAsia="Times New Roman"/>
                <w:sz w:val="18"/>
              </w:rPr>
              <w:t>%</w:t>
            </w:r>
          </w:p>
        </w:tc>
      </w:tr>
      <w:tr w:rsidR="00000000">
        <w:trPr>
          <w:jc w:val="center"/>
        </w:trPr>
        <w:tc>
          <w:tcPr>
            <w:tcW w:w="1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321.13</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206.21</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64.2%</w:t>
            </w:r>
          </w:p>
        </w:tc>
      </w:tr>
      <w:tr w:rsidR="00000000">
        <w:trPr>
          <w:jc w:val="center"/>
        </w:trPr>
        <w:tc>
          <w:tcPr>
            <w:tcW w:w="1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汇总</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1853.24</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1132</w:t>
            </w:r>
            <w:r>
              <w:rPr>
                <w:rFonts w:eastAsia="Times New Roman"/>
                <w:sz w:val="18"/>
              </w:rPr>
              <w:t>.</w:t>
            </w:r>
            <w:r>
              <w:rPr>
                <w:sz w:val="18"/>
              </w:rPr>
              <w:t>72</w:t>
            </w:r>
          </w:p>
        </w:tc>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61.7</w:t>
            </w:r>
            <w:r>
              <w:rPr>
                <w:rFonts w:eastAsia="Times New Roman"/>
                <w:sz w:val="18"/>
              </w:rPr>
              <w:t>%</w:t>
            </w:r>
          </w:p>
        </w:tc>
      </w:tr>
    </w:tbl>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本项目满足《绿色建筑评价标准》</w:t>
      </w:r>
      <w:r>
        <w:rPr>
          <w:rFonts w:ascii="微软雅黑" w:eastAsia="微软雅黑" w:hAnsi="微软雅黑"/>
          <w:sz w:val="21"/>
        </w:rPr>
        <w:t>GB/T 50378-2019</w:t>
      </w:r>
      <w:r>
        <w:rPr>
          <w:rFonts w:ascii="微软雅黑" w:eastAsia="微软雅黑" w:hAnsi="微软雅黑" w:hint="eastAsia"/>
          <w:sz w:val="21"/>
        </w:rPr>
        <w:t>中</w:t>
      </w:r>
      <w:r>
        <w:rPr>
          <w:rFonts w:ascii="微软雅黑" w:eastAsia="微软雅黑" w:hAnsi="微软雅黑"/>
          <w:sz w:val="21"/>
        </w:rPr>
        <w:t>5.2.8</w:t>
      </w:r>
      <w:r>
        <w:rPr>
          <w:rFonts w:ascii="微软雅黑" w:eastAsia="微软雅黑" w:hAnsi="微软雅黑" w:hint="eastAsia"/>
          <w:sz w:val="21"/>
        </w:rPr>
        <w:t>关于照度达标的平均小时</w:t>
      </w:r>
      <w:r>
        <w:rPr>
          <w:rFonts w:ascii="微软雅黑" w:eastAsia="微软雅黑" w:hAnsi="微软雅黑" w:hint="eastAsia"/>
          <w:sz w:val="21"/>
        </w:rPr>
        <w:lastRenderedPageBreak/>
        <w:t>数的面积比例达到</w:t>
      </w:r>
      <w:r>
        <w:rPr>
          <w:rFonts w:ascii="微软雅黑" w:eastAsia="微软雅黑" w:hAnsi="微软雅黑"/>
          <w:sz w:val="21"/>
        </w:rPr>
        <w:t>60%</w:t>
      </w:r>
      <w:r>
        <w:rPr>
          <w:rFonts w:ascii="微软雅黑" w:eastAsia="微软雅黑" w:hAnsi="微软雅黑" w:hint="eastAsia"/>
          <w:sz w:val="21"/>
        </w:rPr>
        <w:t>要求。</w:t>
      </w:r>
    </w:p>
    <w:p w:rsidR="00000000" w:rsidRDefault="007432ED">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4.2.4 </w:t>
      </w:r>
      <w:r>
        <w:rPr>
          <w:rFonts w:ascii="微软雅黑" w:eastAsia="微软雅黑" w:hAnsi="微软雅黑" w:hint="eastAsia"/>
          <w:b/>
          <w:spacing w:val="20"/>
        </w:rPr>
        <w:t>内区采光系数达标面积统计</w:t>
      </w:r>
    </w:p>
    <w:p w:rsidR="00000000" w:rsidRDefault="007432ED">
      <w:pPr>
        <w:spacing w:line="400" w:lineRule="atLeast"/>
        <w:jc w:val="both"/>
        <w:rPr>
          <w:rFonts w:ascii="微软雅黑" w:eastAsia="微软雅黑" w:hAnsi="微软雅黑"/>
          <w:sz w:val="21"/>
        </w:rPr>
      </w:pPr>
      <w:r>
        <w:rPr>
          <w:rFonts w:ascii="微软雅黑" w:eastAsia="微软雅黑" w:hAnsi="微软雅黑"/>
          <w:sz w:val="21"/>
        </w:rPr>
        <w:t>1</w:t>
      </w:r>
      <w:r>
        <w:rPr>
          <w:rFonts w:ascii="微软雅黑" w:eastAsia="微软雅黑" w:hAnsi="微软雅黑" w:hint="eastAsia"/>
          <w:sz w:val="21"/>
        </w:rPr>
        <w:t>、</w:t>
      </w:r>
      <w:r>
        <w:rPr>
          <w:rFonts w:ascii="微软雅黑" w:eastAsia="微软雅黑" w:hAnsi="微软雅黑"/>
          <w:sz w:val="21"/>
        </w:rPr>
        <w:t xml:space="preserve"> 1</w:t>
      </w:r>
    </w:p>
    <w:p w:rsidR="00000000" w:rsidRDefault="007432ED">
      <w:pPr>
        <w:spacing w:before="20" w:after="20"/>
        <w:jc w:val="center"/>
      </w:pPr>
      <w:r>
        <w:pict>
          <v:shape id="图片 14" o:spid="_x0000_i1037" type="#_x0000_t75" style="width:331.8pt;height:287.4pt;mso-position-horizontal-relative:page;mso-position-vertical-relative:page">
            <v:fill o:detectmouseclick="t"/>
            <v:imagedata r:id="rId19" o:title="图片4"/>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11 1</w:t>
      </w:r>
      <w:r>
        <w:rPr>
          <w:rFonts w:ascii="宋体" w:hAnsi="宋体" w:hint="eastAsia"/>
          <w:sz w:val="20"/>
        </w:rPr>
        <w:t>采光系数分布图（内区）</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9 1</w:t>
      </w:r>
      <w:r>
        <w:rPr>
          <w:rFonts w:ascii="宋体" w:hAnsi="宋体" w:hint="eastAsia"/>
          <w:sz w:val="20"/>
        </w:rPr>
        <w:t>内区达标面积统计表</w:t>
      </w:r>
    </w:p>
    <w:tbl>
      <w:tblPr>
        <w:tblW w:w="0" w:type="auto"/>
        <w:jc w:val="center"/>
        <w:tblLayout w:type="fixed"/>
        <w:tblLook w:val="0000" w:firstRow="0" w:lastRow="0" w:firstColumn="0" w:lastColumn="0" w:noHBand="0" w:noVBand="0"/>
      </w:tblPr>
      <w:tblGrid>
        <w:gridCol w:w="1400"/>
        <w:gridCol w:w="1050"/>
        <w:gridCol w:w="1050"/>
        <w:gridCol w:w="650"/>
        <w:gridCol w:w="1050"/>
        <w:gridCol w:w="1050"/>
        <w:gridCol w:w="650"/>
        <w:gridCol w:w="1050"/>
        <w:gridCol w:w="1050"/>
        <w:gridCol w:w="1050"/>
      </w:tblGrid>
      <w:tr w:rsidR="00000000">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w:t>
            </w:r>
            <w:r>
              <w:rPr>
                <w:rFonts w:ascii="宋体" w:hAnsi="宋体"/>
                <w:b/>
                <w:sz w:val="18"/>
              </w:rPr>
              <w:br/>
            </w:r>
            <w:r>
              <w:rPr>
                <w:rFonts w:ascii="宋体" w:hAnsi="宋体" w:hint="eastAsia"/>
                <w:b/>
                <w:sz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w:t>
            </w:r>
            <w:r>
              <w:rPr>
                <w:rFonts w:ascii="宋体" w:hAnsi="宋体"/>
                <w:b/>
                <w:sz w:val="18"/>
              </w:rPr>
              <w:br/>
            </w:r>
            <w:r>
              <w:rPr>
                <w:rFonts w:ascii="宋体" w:hAnsi="宋体" w:hint="eastAsia"/>
                <w:b/>
                <w:sz w:val="18"/>
              </w:rPr>
              <w:t>名称</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w:t>
            </w:r>
            <w:r>
              <w:rPr>
                <w:rFonts w:ascii="宋体" w:hAnsi="宋体"/>
                <w:b/>
                <w:sz w:val="18"/>
              </w:rPr>
              <w:br/>
            </w:r>
            <w:r>
              <w:rPr>
                <w:rFonts w:ascii="宋体" w:hAnsi="宋体" w:hint="eastAsia"/>
                <w:b/>
                <w:sz w:val="18"/>
              </w:rPr>
              <w:t>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w:t>
            </w:r>
            <w:r>
              <w:rPr>
                <w:rFonts w:ascii="宋体" w:hAnsi="宋体"/>
                <w:b/>
                <w:sz w:val="18"/>
              </w:rPr>
              <w:br/>
            </w:r>
            <w:r>
              <w:rPr>
                <w:rFonts w:ascii="宋体" w:hAnsi="宋体" w:hint="eastAsia"/>
                <w:b/>
                <w:sz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采光系数</w:t>
            </w:r>
            <w:r>
              <w:rPr>
                <w:rFonts w:ascii="宋体" w:hAnsi="宋体"/>
                <w:b/>
                <w:sz w:val="18"/>
              </w:rPr>
              <w:br/>
            </w:r>
            <w:r>
              <w:rPr>
                <w:rFonts w:ascii="宋体" w:hAnsi="宋体" w:hint="eastAsia"/>
                <w:b/>
                <w:sz w:val="18"/>
              </w:rPr>
              <w:t>标准值</w:t>
            </w:r>
            <w:r>
              <w:rPr>
                <w:rFonts w:ascii="宋体" w:hAnsi="宋体"/>
                <w:b/>
                <w:sz w:val="18"/>
              </w:rPr>
              <w:br/>
            </w:r>
            <w:r>
              <w:rPr>
                <w:rFonts w:eastAsia="Times New Roman"/>
                <w:b/>
                <w:sz w:val="18"/>
              </w:rPr>
              <w:t>C(%)</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限值</w:t>
            </w:r>
            <w:r>
              <w:rPr>
                <w:rFonts w:ascii="宋体" w:hAnsi="宋体"/>
                <w:b/>
                <w:sz w:val="18"/>
              </w:rPr>
              <w:br/>
            </w:r>
            <w:r>
              <w:rPr>
                <w:rFonts w:eastAsia="Times New Roman"/>
                <w:b/>
                <w:sz w:val="18"/>
              </w:rPr>
              <w:t>C(%)</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内区面积</w:t>
            </w:r>
            <w:r>
              <w:rPr>
                <w:rFonts w:ascii="宋体" w:hAnsi="宋体"/>
                <w:b/>
                <w:sz w:val="18"/>
              </w:rPr>
              <w:br/>
            </w:r>
            <w:r>
              <w:rPr>
                <w:rFonts w:eastAsia="Times New Roman"/>
                <w:b/>
                <w:sz w:val="18"/>
              </w:rPr>
              <w:t>(</w:t>
            </w:r>
            <w:r>
              <w:rPr>
                <w:rFonts w:ascii="宋体" w:hAnsi="宋体" w:hint="eastAsia"/>
                <w:b/>
                <w:sz w:val="18"/>
              </w:rPr>
              <w:t>㎡</w:t>
            </w:r>
            <w:r>
              <w:rPr>
                <w:rFonts w:eastAsia="Times New Roman"/>
                <w:b/>
                <w:sz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内区达标</w:t>
            </w:r>
            <w:r>
              <w:rPr>
                <w:rFonts w:ascii="宋体" w:hAnsi="宋体"/>
                <w:b/>
                <w:sz w:val="18"/>
              </w:rPr>
              <w:br/>
            </w:r>
            <w:r>
              <w:rPr>
                <w:rFonts w:ascii="宋体" w:hAnsi="宋体" w:hint="eastAsia"/>
                <w:b/>
                <w:sz w:val="18"/>
              </w:rPr>
              <w:t>面积</w:t>
            </w:r>
            <w:r>
              <w:rPr>
                <w:rFonts w:eastAsia="Times New Roman"/>
                <w:b/>
                <w:sz w:val="18"/>
              </w:rPr>
              <w:t>(</w:t>
            </w:r>
            <w:r>
              <w:rPr>
                <w:rFonts w:ascii="宋体" w:hAnsi="宋体" w:hint="eastAsia"/>
                <w:b/>
                <w:sz w:val="18"/>
              </w:rPr>
              <w:t>㎡</w:t>
            </w:r>
            <w:r>
              <w:rPr>
                <w:rFonts w:eastAsia="Times New Roman"/>
                <w:b/>
                <w:sz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达标面积</w:t>
            </w:r>
            <w:r>
              <w:rPr>
                <w:rFonts w:ascii="宋体" w:hAnsi="宋体"/>
                <w:b/>
                <w:sz w:val="18"/>
              </w:rPr>
              <w:br/>
            </w:r>
            <w:r>
              <w:rPr>
                <w:rFonts w:ascii="宋体" w:hAnsi="宋体" w:hint="eastAsia"/>
                <w:b/>
                <w:sz w:val="18"/>
              </w:rPr>
              <w:t>比例</w:t>
            </w:r>
            <w:r>
              <w:rPr>
                <w:rFonts w:eastAsia="Times New Roman"/>
                <w:b/>
                <w:sz w:val="18"/>
              </w:rPr>
              <w:t>(%)</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_CA01001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RM01001</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RM01018</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47.61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sz w:val="18"/>
              </w:rPr>
              <w:t>40.14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84.3</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RM01016</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11.07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sz w:val="18"/>
              </w:rPr>
              <w:t>7.41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66.9</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RM01002</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w:t>
            </w:r>
            <w:r>
              <w:rPr>
                <w:rFonts w:ascii="宋体" w:hAnsi="宋体" w:hint="eastAsia"/>
                <w:sz w:val="18"/>
              </w:rPr>
              <w:t>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RM01005</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RM01007</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2.65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1.67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63.0</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RM01009</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59.85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41.72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69.7</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RM01012</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RM01011</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1.2</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77.87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RM01015</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0.9</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10.35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6.95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67.1</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RM01003</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RM01006</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0.6</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11.33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6.45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56.9</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RM01019</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18.57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15.56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83.8</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RM01008</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0.9</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71.63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56.32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78.6</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RM01021</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8.03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6.78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84.4</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RM01022</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0.7</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2.77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2.64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95.3</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RM01026</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0.7</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2</w:t>
            </w:r>
            <w:r>
              <w:rPr>
                <w:rFonts w:eastAsia="Times New Roman"/>
                <w:sz w:val="18"/>
              </w:rPr>
              <w:t>.92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0.6</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13.85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5.62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40.6</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RM01025</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0.92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0.43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46.7</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RM01023</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6900" w:type="dxa"/>
            <w:gridSpan w:val="7"/>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b/>
                <w:sz w:val="18"/>
              </w:rPr>
              <w:t>合计</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337.42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194.69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57.7</w:t>
            </w:r>
            <w:r>
              <w:rPr>
                <w:rFonts w:eastAsia="Times New Roman"/>
                <w:sz w:val="18"/>
              </w:rPr>
              <w:t>%</w:t>
            </w:r>
          </w:p>
        </w:tc>
      </w:tr>
    </w:tbl>
    <w:p w:rsidR="00000000" w:rsidRDefault="007432ED">
      <w:pPr>
        <w:spacing w:line="350" w:lineRule="atLeast"/>
        <w:ind w:firstLine="380"/>
        <w:jc w:val="both"/>
        <w:rPr>
          <w:rFonts w:ascii="微软雅黑" w:eastAsia="微软雅黑" w:hAnsi="微软雅黑"/>
          <w:sz w:val="19"/>
        </w:rPr>
      </w:pPr>
      <w:r>
        <w:rPr>
          <w:rFonts w:ascii="微软雅黑" w:eastAsia="微软雅黑" w:hAnsi="微软雅黑" w:hint="eastAsia"/>
          <w:sz w:val="19"/>
        </w:rPr>
        <w:t>注：上表中，</w:t>
      </w:r>
      <w:r>
        <w:rPr>
          <w:rFonts w:ascii="微软雅黑" w:eastAsia="微软雅黑" w:hAnsi="微软雅黑" w:hint="eastAsia"/>
          <w:sz w:val="19"/>
        </w:rPr>
        <w:t>“</w:t>
      </w:r>
      <w:r>
        <w:rPr>
          <w:rFonts w:ascii="微软雅黑" w:eastAsia="微软雅黑" w:hAnsi="微软雅黑" w:hint="eastAsia"/>
          <w:sz w:val="19"/>
        </w:rPr>
        <w:t>采光系数标准值</w:t>
      </w:r>
      <w:r>
        <w:rPr>
          <w:rFonts w:ascii="微软雅黑" w:eastAsia="微软雅黑" w:hAnsi="微软雅黑" w:hint="eastAsia"/>
          <w:sz w:val="19"/>
        </w:rPr>
        <w:t>”</w:t>
      </w:r>
      <w:r>
        <w:rPr>
          <w:rFonts w:ascii="微软雅黑" w:eastAsia="微软雅黑" w:hAnsi="微软雅黑" w:hint="eastAsia"/>
          <w:sz w:val="19"/>
        </w:rPr>
        <w:t>即</w:t>
      </w:r>
      <w:r>
        <w:rPr>
          <w:rFonts w:ascii="微软雅黑" w:eastAsia="微软雅黑" w:hAnsi="微软雅黑" w:hint="eastAsia"/>
          <w:sz w:val="19"/>
        </w:rPr>
        <w:t>“</w:t>
      </w:r>
      <w:r>
        <w:rPr>
          <w:rFonts w:ascii="微软雅黑" w:eastAsia="微软雅黑" w:hAnsi="微软雅黑" w:hint="eastAsia"/>
          <w:sz w:val="19"/>
        </w:rPr>
        <w:t>平均采光系数</w:t>
      </w:r>
      <w:r>
        <w:rPr>
          <w:rFonts w:ascii="微软雅黑" w:eastAsia="微软雅黑" w:hAnsi="微软雅黑" w:hint="eastAsia"/>
          <w:sz w:val="19"/>
        </w:rPr>
        <w:t>”</w:t>
      </w:r>
      <w:r>
        <w:rPr>
          <w:rFonts w:ascii="微软雅黑" w:eastAsia="微软雅黑" w:hAnsi="微软雅黑" w:hint="eastAsia"/>
          <w:sz w:val="19"/>
        </w:rPr>
        <w:t>。</w:t>
      </w:r>
    </w:p>
    <w:p w:rsidR="00000000" w:rsidRDefault="007432ED">
      <w:pPr>
        <w:spacing w:line="400" w:lineRule="atLeast"/>
        <w:jc w:val="both"/>
        <w:rPr>
          <w:rFonts w:ascii="微软雅黑" w:eastAsia="微软雅黑" w:hAnsi="微软雅黑"/>
          <w:sz w:val="21"/>
        </w:rPr>
      </w:pPr>
      <w:r>
        <w:rPr>
          <w:rFonts w:ascii="微软雅黑" w:eastAsia="微软雅黑" w:hAnsi="微软雅黑"/>
          <w:sz w:val="21"/>
        </w:rPr>
        <w:t>2</w:t>
      </w:r>
      <w:r>
        <w:rPr>
          <w:rFonts w:ascii="微软雅黑" w:eastAsia="微软雅黑" w:hAnsi="微软雅黑" w:hint="eastAsia"/>
          <w:sz w:val="21"/>
        </w:rPr>
        <w:t>、</w:t>
      </w:r>
      <w:r>
        <w:rPr>
          <w:rFonts w:ascii="微软雅黑" w:eastAsia="微软雅黑" w:hAnsi="微软雅黑"/>
          <w:sz w:val="21"/>
        </w:rPr>
        <w:t xml:space="preserve"> 2</w:t>
      </w:r>
    </w:p>
    <w:p w:rsidR="00000000" w:rsidRDefault="007432ED">
      <w:pPr>
        <w:spacing w:before="20" w:after="20"/>
        <w:jc w:val="center"/>
      </w:pPr>
      <w:r>
        <w:lastRenderedPageBreak/>
        <w:pict>
          <v:shape id="图片 15" o:spid="_x0000_i1038" type="#_x0000_t75" style="width:331.5pt;height:315pt;mso-position-horizontal-relative:page;mso-position-vertical-relative:page">
            <v:fill o:detectmouseclick="t"/>
            <v:imagedata r:id="rId20" o:title="图片5"/>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12 2</w:t>
      </w:r>
      <w:r>
        <w:rPr>
          <w:rFonts w:ascii="宋体" w:hAnsi="宋体" w:hint="eastAsia"/>
          <w:sz w:val="20"/>
        </w:rPr>
        <w:t>采光系数分布图（内区）</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10 2</w:t>
      </w:r>
      <w:r>
        <w:rPr>
          <w:rFonts w:ascii="宋体" w:hAnsi="宋体" w:hint="eastAsia"/>
          <w:sz w:val="20"/>
        </w:rPr>
        <w:t>内区达标面积统计表</w:t>
      </w:r>
    </w:p>
    <w:tbl>
      <w:tblPr>
        <w:tblW w:w="0" w:type="auto"/>
        <w:jc w:val="center"/>
        <w:tblLayout w:type="fixed"/>
        <w:tblLook w:val="0000" w:firstRow="0" w:lastRow="0" w:firstColumn="0" w:lastColumn="0" w:noHBand="0" w:noVBand="0"/>
      </w:tblPr>
      <w:tblGrid>
        <w:gridCol w:w="1400"/>
        <w:gridCol w:w="1050"/>
        <w:gridCol w:w="1050"/>
        <w:gridCol w:w="650"/>
        <w:gridCol w:w="1050"/>
        <w:gridCol w:w="1050"/>
        <w:gridCol w:w="650"/>
        <w:gridCol w:w="1050"/>
        <w:gridCol w:w="1050"/>
        <w:gridCol w:w="1050"/>
      </w:tblGrid>
      <w:tr w:rsidR="00000000">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w:t>
            </w:r>
            <w:r>
              <w:rPr>
                <w:rFonts w:ascii="宋体" w:hAnsi="宋体"/>
                <w:b/>
                <w:sz w:val="18"/>
              </w:rPr>
              <w:br/>
            </w:r>
            <w:r>
              <w:rPr>
                <w:rFonts w:ascii="宋体" w:hAnsi="宋体" w:hint="eastAsia"/>
                <w:b/>
                <w:sz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w:t>
            </w:r>
            <w:r>
              <w:rPr>
                <w:rFonts w:ascii="宋体" w:hAnsi="宋体"/>
                <w:b/>
                <w:sz w:val="18"/>
              </w:rPr>
              <w:br/>
            </w:r>
            <w:r>
              <w:rPr>
                <w:rFonts w:ascii="宋体" w:hAnsi="宋体" w:hint="eastAsia"/>
                <w:b/>
                <w:sz w:val="18"/>
              </w:rPr>
              <w:t>名称</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w:t>
            </w:r>
            <w:r>
              <w:rPr>
                <w:rFonts w:ascii="宋体" w:hAnsi="宋体"/>
                <w:b/>
                <w:sz w:val="18"/>
              </w:rPr>
              <w:br/>
            </w:r>
            <w:r>
              <w:rPr>
                <w:rFonts w:ascii="宋体" w:hAnsi="宋体" w:hint="eastAsia"/>
                <w:b/>
                <w:sz w:val="18"/>
              </w:rPr>
              <w:t>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w:t>
            </w:r>
            <w:r>
              <w:rPr>
                <w:rFonts w:ascii="宋体" w:hAnsi="宋体"/>
                <w:b/>
                <w:sz w:val="18"/>
              </w:rPr>
              <w:br/>
            </w:r>
            <w:r>
              <w:rPr>
                <w:rFonts w:ascii="宋体" w:hAnsi="宋体" w:hint="eastAsia"/>
                <w:b/>
                <w:sz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采光系数</w:t>
            </w:r>
            <w:r>
              <w:rPr>
                <w:rFonts w:ascii="宋体" w:hAnsi="宋体"/>
                <w:b/>
                <w:sz w:val="18"/>
              </w:rPr>
              <w:br/>
            </w:r>
            <w:r>
              <w:rPr>
                <w:rFonts w:ascii="宋体" w:hAnsi="宋体" w:hint="eastAsia"/>
                <w:b/>
                <w:sz w:val="18"/>
              </w:rPr>
              <w:t>标准值</w:t>
            </w:r>
            <w:r>
              <w:rPr>
                <w:rFonts w:ascii="宋体" w:hAnsi="宋体"/>
                <w:b/>
                <w:sz w:val="18"/>
              </w:rPr>
              <w:br/>
            </w:r>
            <w:r>
              <w:rPr>
                <w:rFonts w:eastAsia="Times New Roman"/>
                <w:b/>
                <w:sz w:val="18"/>
              </w:rPr>
              <w:t>C(%)</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限值</w:t>
            </w:r>
            <w:r>
              <w:rPr>
                <w:rFonts w:ascii="宋体" w:hAnsi="宋体"/>
                <w:b/>
                <w:sz w:val="18"/>
              </w:rPr>
              <w:br/>
            </w:r>
            <w:r>
              <w:rPr>
                <w:rFonts w:eastAsia="Times New Roman"/>
                <w:b/>
                <w:sz w:val="18"/>
              </w:rPr>
              <w:t>C(%)</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内区面积</w:t>
            </w:r>
            <w:r>
              <w:rPr>
                <w:rFonts w:ascii="宋体" w:hAnsi="宋体"/>
                <w:b/>
                <w:sz w:val="18"/>
              </w:rPr>
              <w:br/>
            </w:r>
            <w:r>
              <w:rPr>
                <w:rFonts w:eastAsia="Times New Roman"/>
                <w:b/>
                <w:sz w:val="18"/>
              </w:rPr>
              <w:t>(</w:t>
            </w:r>
            <w:r>
              <w:rPr>
                <w:rFonts w:ascii="宋体" w:hAnsi="宋体" w:hint="eastAsia"/>
                <w:b/>
                <w:sz w:val="18"/>
              </w:rPr>
              <w:t>㎡</w:t>
            </w:r>
            <w:r>
              <w:rPr>
                <w:rFonts w:eastAsia="Times New Roman"/>
                <w:b/>
                <w:sz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内区达标</w:t>
            </w:r>
            <w:r>
              <w:rPr>
                <w:rFonts w:ascii="宋体" w:hAnsi="宋体"/>
                <w:b/>
                <w:sz w:val="18"/>
              </w:rPr>
              <w:br/>
            </w:r>
            <w:r>
              <w:rPr>
                <w:rFonts w:ascii="宋体" w:hAnsi="宋体" w:hint="eastAsia"/>
                <w:b/>
                <w:sz w:val="18"/>
              </w:rPr>
              <w:t>面积</w:t>
            </w:r>
            <w:r>
              <w:rPr>
                <w:rFonts w:eastAsia="Times New Roman"/>
                <w:b/>
                <w:sz w:val="18"/>
              </w:rPr>
              <w:t>(</w:t>
            </w:r>
            <w:r>
              <w:rPr>
                <w:rFonts w:ascii="宋体" w:hAnsi="宋体" w:hint="eastAsia"/>
                <w:b/>
                <w:sz w:val="18"/>
              </w:rPr>
              <w:t>㎡</w:t>
            </w:r>
            <w:r>
              <w:rPr>
                <w:rFonts w:eastAsia="Times New Roman"/>
                <w:b/>
                <w:sz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达标面积</w:t>
            </w:r>
            <w:r>
              <w:rPr>
                <w:rFonts w:ascii="宋体" w:hAnsi="宋体"/>
                <w:b/>
                <w:sz w:val="18"/>
              </w:rPr>
              <w:br/>
            </w:r>
            <w:r>
              <w:rPr>
                <w:rFonts w:ascii="宋体" w:hAnsi="宋体" w:hint="eastAsia"/>
                <w:b/>
                <w:sz w:val="18"/>
              </w:rPr>
              <w:t>比例</w:t>
            </w:r>
            <w:r>
              <w:rPr>
                <w:rFonts w:eastAsia="Times New Roman"/>
                <w:b/>
                <w:sz w:val="18"/>
              </w:rPr>
              <w:t>(%)</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_CA02001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RM02001</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RM02021</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RM02010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RM02019</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RM02017</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RM02002</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RM02016</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RM02015</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0.5</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8.42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6.37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ind w:firstLineChars="100" w:firstLine="180"/>
              <w:jc w:val="both"/>
              <w:rPr>
                <w:rFonts w:ascii="宋体" w:hAnsi="宋体"/>
                <w:sz w:val="18"/>
              </w:rPr>
            </w:pPr>
            <w:r>
              <w:rPr>
                <w:sz w:val="18"/>
              </w:rPr>
              <w:t>75.7</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RM02012</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RM02008</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RM02013</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RM02004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RM02006</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RM02018</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0.8</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0.92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0.14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15.2</w:t>
            </w: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RM02014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6900" w:type="dxa"/>
            <w:gridSpan w:val="7"/>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b/>
                <w:sz w:val="18"/>
              </w:rPr>
              <w:t>合计</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9.34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6.51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sz w:val="18"/>
              </w:rPr>
              <w:t>69.7</w:t>
            </w:r>
            <w:r>
              <w:rPr>
                <w:rFonts w:eastAsia="Times New Roman"/>
                <w:sz w:val="18"/>
              </w:rPr>
              <w:t>%</w:t>
            </w:r>
          </w:p>
        </w:tc>
      </w:tr>
    </w:tbl>
    <w:p w:rsidR="00000000" w:rsidRDefault="007432ED">
      <w:pPr>
        <w:spacing w:line="350" w:lineRule="atLeast"/>
        <w:ind w:firstLine="380"/>
        <w:jc w:val="both"/>
        <w:rPr>
          <w:rFonts w:ascii="微软雅黑" w:eastAsia="微软雅黑" w:hAnsi="微软雅黑"/>
          <w:sz w:val="19"/>
        </w:rPr>
      </w:pPr>
      <w:r>
        <w:rPr>
          <w:rFonts w:ascii="微软雅黑" w:eastAsia="微软雅黑" w:hAnsi="微软雅黑" w:hint="eastAsia"/>
          <w:sz w:val="19"/>
        </w:rPr>
        <w:t>注：上表中，</w:t>
      </w:r>
      <w:r>
        <w:rPr>
          <w:rFonts w:ascii="微软雅黑" w:eastAsia="微软雅黑" w:hAnsi="微软雅黑" w:hint="eastAsia"/>
          <w:sz w:val="19"/>
        </w:rPr>
        <w:t>“</w:t>
      </w:r>
      <w:r>
        <w:rPr>
          <w:rFonts w:ascii="微软雅黑" w:eastAsia="微软雅黑" w:hAnsi="微软雅黑" w:hint="eastAsia"/>
          <w:sz w:val="19"/>
        </w:rPr>
        <w:t>采光系数标准值</w:t>
      </w:r>
      <w:r>
        <w:rPr>
          <w:rFonts w:ascii="微软雅黑" w:eastAsia="微软雅黑" w:hAnsi="微软雅黑" w:hint="eastAsia"/>
          <w:sz w:val="19"/>
        </w:rPr>
        <w:t>”</w:t>
      </w:r>
      <w:r>
        <w:rPr>
          <w:rFonts w:ascii="微软雅黑" w:eastAsia="微软雅黑" w:hAnsi="微软雅黑" w:hint="eastAsia"/>
          <w:sz w:val="19"/>
        </w:rPr>
        <w:t>即</w:t>
      </w:r>
      <w:r>
        <w:rPr>
          <w:rFonts w:ascii="微软雅黑" w:eastAsia="微软雅黑" w:hAnsi="微软雅黑" w:hint="eastAsia"/>
          <w:sz w:val="19"/>
        </w:rPr>
        <w:t>“</w:t>
      </w:r>
      <w:r>
        <w:rPr>
          <w:rFonts w:ascii="微软雅黑" w:eastAsia="微软雅黑" w:hAnsi="微软雅黑" w:hint="eastAsia"/>
          <w:sz w:val="19"/>
        </w:rPr>
        <w:t>平均采光系数</w:t>
      </w:r>
      <w:r>
        <w:rPr>
          <w:rFonts w:ascii="微软雅黑" w:eastAsia="微软雅黑" w:hAnsi="微软雅黑" w:hint="eastAsia"/>
          <w:sz w:val="19"/>
        </w:rPr>
        <w:t>”</w:t>
      </w:r>
      <w:r>
        <w:rPr>
          <w:rFonts w:ascii="微软雅黑" w:eastAsia="微软雅黑" w:hAnsi="微软雅黑" w:hint="eastAsia"/>
          <w:sz w:val="19"/>
        </w:rPr>
        <w:t>。</w:t>
      </w:r>
    </w:p>
    <w:p w:rsidR="00000000" w:rsidRDefault="007432ED">
      <w:pPr>
        <w:spacing w:line="400" w:lineRule="atLeast"/>
        <w:jc w:val="both"/>
        <w:rPr>
          <w:rFonts w:ascii="微软雅黑" w:eastAsia="微软雅黑" w:hAnsi="微软雅黑"/>
          <w:sz w:val="21"/>
        </w:rPr>
      </w:pPr>
      <w:r>
        <w:rPr>
          <w:rFonts w:ascii="微软雅黑" w:eastAsia="微软雅黑" w:hAnsi="微软雅黑"/>
          <w:sz w:val="21"/>
        </w:rPr>
        <w:t>3</w:t>
      </w:r>
      <w:r>
        <w:rPr>
          <w:rFonts w:ascii="微软雅黑" w:eastAsia="微软雅黑" w:hAnsi="微软雅黑" w:hint="eastAsia"/>
          <w:sz w:val="21"/>
        </w:rPr>
        <w:t>、</w:t>
      </w:r>
      <w:r>
        <w:rPr>
          <w:rFonts w:ascii="微软雅黑" w:eastAsia="微软雅黑" w:hAnsi="微软雅黑"/>
          <w:sz w:val="21"/>
        </w:rPr>
        <w:t xml:space="preserve"> 3</w:t>
      </w:r>
    </w:p>
    <w:p w:rsidR="00000000" w:rsidRDefault="007432ED">
      <w:pPr>
        <w:spacing w:before="20" w:after="20"/>
        <w:jc w:val="center"/>
      </w:pPr>
      <w:r>
        <w:pict>
          <v:shape id="图片 16" o:spid="_x0000_i1039" type="#_x0000_t75" style="width:331.5pt;height:315pt;mso-wrap-style:square;mso-position-horizontal-relative:page;mso-position-vertical-relative:page">
            <v:imagedata r:id="rId21" o:title=""/>
          </v:shape>
        </w:pict>
      </w:r>
    </w:p>
    <w:p w:rsidR="00000000" w:rsidRDefault="007432ED">
      <w:pPr>
        <w:spacing w:before="20" w:after="60"/>
        <w:jc w:val="center"/>
        <w:rPr>
          <w:rFonts w:ascii="宋体" w:hAnsi="宋体"/>
          <w:sz w:val="20"/>
        </w:rPr>
      </w:pPr>
      <w:r>
        <w:rPr>
          <w:rFonts w:ascii="宋体" w:hAnsi="宋体" w:hint="eastAsia"/>
          <w:sz w:val="20"/>
        </w:rPr>
        <w:t>图</w:t>
      </w:r>
      <w:r>
        <w:rPr>
          <w:rFonts w:eastAsia="Times New Roman"/>
          <w:sz w:val="20"/>
        </w:rPr>
        <w:t>13 3</w:t>
      </w:r>
      <w:r>
        <w:rPr>
          <w:rFonts w:ascii="宋体" w:hAnsi="宋体" w:hint="eastAsia"/>
          <w:sz w:val="20"/>
        </w:rPr>
        <w:t>采光系数分布图（内区）</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11 3</w:t>
      </w:r>
      <w:r>
        <w:rPr>
          <w:rFonts w:ascii="宋体" w:hAnsi="宋体" w:hint="eastAsia"/>
          <w:sz w:val="20"/>
        </w:rPr>
        <w:t>内区达标面积统计表</w:t>
      </w:r>
    </w:p>
    <w:tbl>
      <w:tblPr>
        <w:tblW w:w="0" w:type="auto"/>
        <w:jc w:val="center"/>
        <w:tblLayout w:type="fixed"/>
        <w:tblLook w:val="0000" w:firstRow="0" w:lastRow="0" w:firstColumn="0" w:lastColumn="0" w:noHBand="0" w:noVBand="0"/>
      </w:tblPr>
      <w:tblGrid>
        <w:gridCol w:w="1400"/>
        <w:gridCol w:w="1050"/>
        <w:gridCol w:w="1050"/>
        <w:gridCol w:w="650"/>
        <w:gridCol w:w="1050"/>
        <w:gridCol w:w="1050"/>
        <w:gridCol w:w="650"/>
        <w:gridCol w:w="1050"/>
        <w:gridCol w:w="1050"/>
        <w:gridCol w:w="1050"/>
      </w:tblGrid>
      <w:tr w:rsidR="00000000">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区域</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w:t>
            </w:r>
            <w:r>
              <w:rPr>
                <w:rFonts w:ascii="宋体" w:hAnsi="宋体"/>
                <w:b/>
                <w:sz w:val="18"/>
              </w:rPr>
              <w:br/>
            </w:r>
            <w:r>
              <w:rPr>
                <w:rFonts w:ascii="宋体" w:hAnsi="宋体" w:hint="eastAsia"/>
                <w:b/>
                <w:sz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w:t>
            </w:r>
            <w:r>
              <w:rPr>
                <w:rFonts w:ascii="宋体" w:hAnsi="宋体"/>
                <w:b/>
                <w:sz w:val="18"/>
              </w:rPr>
              <w:br/>
            </w:r>
            <w:r>
              <w:rPr>
                <w:rFonts w:ascii="宋体" w:hAnsi="宋体" w:hint="eastAsia"/>
                <w:b/>
                <w:sz w:val="18"/>
              </w:rPr>
              <w:t>名称</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w:t>
            </w:r>
            <w:r>
              <w:rPr>
                <w:rFonts w:ascii="宋体" w:hAnsi="宋体"/>
                <w:b/>
                <w:sz w:val="18"/>
              </w:rPr>
              <w:br/>
            </w:r>
            <w:r>
              <w:rPr>
                <w:rFonts w:ascii="宋体" w:hAnsi="宋体" w:hint="eastAsia"/>
                <w:b/>
                <w:sz w:val="18"/>
              </w:rPr>
              <w:t>等级</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w:t>
            </w:r>
            <w:r>
              <w:rPr>
                <w:rFonts w:ascii="宋体" w:hAnsi="宋体"/>
                <w:b/>
                <w:sz w:val="18"/>
              </w:rPr>
              <w:br/>
            </w:r>
            <w:r>
              <w:rPr>
                <w:rFonts w:ascii="宋体" w:hAnsi="宋体" w:hint="eastAsia"/>
                <w:b/>
                <w:sz w:val="18"/>
              </w:rPr>
              <w:t>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采光系数</w:t>
            </w:r>
            <w:r>
              <w:rPr>
                <w:rFonts w:ascii="宋体" w:hAnsi="宋体"/>
                <w:b/>
                <w:sz w:val="18"/>
              </w:rPr>
              <w:br/>
            </w:r>
            <w:r>
              <w:rPr>
                <w:rFonts w:ascii="宋体" w:hAnsi="宋体" w:hint="eastAsia"/>
                <w:b/>
                <w:sz w:val="18"/>
              </w:rPr>
              <w:t>标准值</w:t>
            </w:r>
            <w:r>
              <w:rPr>
                <w:rFonts w:ascii="宋体" w:hAnsi="宋体"/>
                <w:b/>
                <w:sz w:val="18"/>
              </w:rPr>
              <w:br/>
            </w:r>
            <w:r>
              <w:rPr>
                <w:rFonts w:eastAsia="Times New Roman"/>
                <w:b/>
                <w:sz w:val="18"/>
              </w:rPr>
              <w:t>C(%)</w:t>
            </w:r>
          </w:p>
        </w:tc>
        <w:tc>
          <w:tcPr>
            <w:tcW w:w="6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限值</w:t>
            </w:r>
            <w:r>
              <w:rPr>
                <w:rFonts w:ascii="宋体" w:hAnsi="宋体"/>
                <w:b/>
                <w:sz w:val="18"/>
              </w:rPr>
              <w:br/>
            </w:r>
            <w:r>
              <w:rPr>
                <w:rFonts w:eastAsia="Times New Roman"/>
                <w:b/>
                <w:sz w:val="18"/>
              </w:rPr>
              <w:t>C(%)</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内区面积</w:t>
            </w:r>
            <w:r>
              <w:rPr>
                <w:rFonts w:ascii="宋体" w:hAnsi="宋体"/>
                <w:b/>
                <w:sz w:val="18"/>
              </w:rPr>
              <w:br/>
            </w:r>
            <w:r>
              <w:rPr>
                <w:rFonts w:eastAsia="Times New Roman"/>
                <w:b/>
                <w:sz w:val="18"/>
              </w:rPr>
              <w:t>(</w:t>
            </w:r>
            <w:r>
              <w:rPr>
                <w:rFonts w:ascii="宋体" w:hAnsi="宋体" w:hint="eastAsia"/>
                <w:b/>
                <w:sz w:val="18"/>
              </w:rPr>
              <w:t>㎡</w:t>
            </w:r>
            <w:r>
              <w:rPr>
                <w:rFonts w:eastAsia="Times New Roman"/>
                <w:b/>
                <w:sz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内区达标</w:t>
            </w:r>
            <w:r>
              <w:rPr>
                <w:rFonts w:ascii="宋体" w:hAnsi="宋体"/>
                <w:b/>
                <w:sz w:val="18"/>
              </w:rPr>
              <w:br/>
            </w:r>
            <w:r>
              <w:rPr>
                <w:rFonts w:ascii="宋体" w:hAnsi="宋体" w:hint="eastAsia"/>
                <w:b/>
                <w:sz w:val="18"/>
              </w:rPr>
              <w:t>面积</w:t>
            </w:r>
            <w:r>
              <w:rPr>
                <w:rFonts w:eastAsia="Times New Roman"/>
                <w:b/>
                <w:sz w:val="18"/>
              </w:rPr>
              <w:t>(</w:t>
            </w:r>
            <w:r>
              <w:rPr>
                <w:rFonts w:ascii="宋体" w:hAnsi="宋体" w:hint="eastAsia"/>
                <w:b/>
                <w:sz w:val="18"/>
              </w:rPr>
              <w:t>㎡</w:t>
            </w:r>
            <w:r>
              <w:rPr>
                <w:rFonts w:eastAsia="Times New Roman"/>
                <w:b/>
                <w:sz w:val="18"/>
              </w:rPr>
              <w:t>)</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达标面积</w:t>
            </w:r>
            <w:r>
              <w:rPr>
                <w:rFonts w:ascii="宋体" w:hAnsi="宋体"/>
                <w:b/>
                <w:sz w:val="18"/>
              </w:rPr>
              <w:br/>
            </w:r>
            <w:r>
              <w:rPr>
                <w:rFonts w:ascii="宋体" w:hAnsi="宋体" w:hint="eastAsia"/>
                <w:b/>
                <w:sz w:val="18"/>
              </w:rPr>
              <w:t>比例</w:t>
            </w:r>
            <w:r>
              <w:rPr>
                <w:rFonts w:eastAsia="Times New Roman"/>
                <w:b/>
                <w:sz w:val="18"/>
              </w:rPr>
              <w:t>(%)</w:t>
            </w:r>
          </w:p>
        </w:tc>
      </w:tr>
      <w:tr w:rsidR="00000000">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RM03008</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w:t>
            </w:r>
            <w:r>
              <w:rPr>
                <w:rFonts w:ascii="宋体" w:hAnsi="宋体" w:hint="eastAsia"/>
                <w:sz w:val="18"/>
              </w:rPr>
              <w:t>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RM03009</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lastRenderedPageBreak/>
              <w:t>RM03001</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lastRenderedPageBreak/>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RM03010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RM03002</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RM03007</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RM03004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RM03013</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RM03012</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分户区</w:t>
            </w:r>
            <w:r>
              <w:rPr>
                <w:rFonts w:eastAsia="Times New Roman"/>
                <w:sz w:val="18"/>
              </w:rPr>
              <w:t>_CA03005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RM03015</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w:t>
            </w:r>
            <w:r>
              <w:rPr>
                <w:rFonts w:ascii="宋体" w:hAnsi="宋体" w:hint="eastAsia"/>
                <w:sz w:val="18"/>
              </w:rPr>
              <w:t>它</w:t>
            </w:r>
            <w:r>
              <w:rPr>
                <w:rFonts w:eastAsia="Times New Roman"/>
                <w:sz w:val="18"/>
              </w:rPr>
              <w:t>RM03016</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RM03014</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侧面采光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w:t>
            </w:r>
          </w:p>
        </w:tc>
        <w:tc>
          <w:tcPr>
            <w:tcW w:w="6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r w:rsidR="00000000">
        <w:trPr>
          <w:jc w:val="center"/>
        </w:trPr>
        <w:tc>
          <w:tcPr>
            <w:tcW w:w="6900" w:type="dxa"/>
            <w:gridSpan w:val="7"/>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b/>
                <w:sz w:val="18"/>
              </w:rPr>
              <w:t>合计</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bl>
    <w:p w:rsidR="00000000" w:rsidRDefault="007432ED">
      <w:pPr>
        <w:spacing w:line="350" w:lineRule="atLeast"/>
        <w:ind w:firstLine="380"/>
        <w:jc w:val="both"/>
        <w:rPr>
          <w:rFonts w:ascii="微软雅黑" w:eastAsia="微软雅黑" w:hAnsi="微软雅黑"/>
          <w:sz w:val="19"/>
        </w:rPr>
      </w:pPr>
      <w:r>
        <w:rPr>
          <w:rFonts w:ascii="微软雅黑" w:eastAsia="微软雅黑" w:hAnsi="微软雅黑" w:hint="eastAsia"/>
          <w:sz w:val="19"/>
        </w:rPr>
        <w:t>注：上表中，</w:t>
      </w:r>
      <w:r>
        <w:rPr>
          <w:rFonts w:ascii="微软雅黑" w:eastAsia="微软雅黑" w:hAnsi="微软雅黑" w:hint="eastAsia"/>
          <w:sz w:val="19"/>
        </w:rPr>
        <w:t>“</w:t>
      </w:r>
      <w:r>
        <w:rPr>
          <w:rFonts w:ascii="微软雅黑" w:eastAsia="微软雅黑" w:hAnsi="微软雅黑" w:hint="eastAsia"/>
          <w:sz w:val="19"/>
        </w:rPr>
        <w:t>采光系数标准值</w:t>
      </w:r>
      <w:r>
        <w:rPr>
          <w:rFonts w:ascii="微软雅黑" w:eastAsia="微软雅黑" w:hAnsi="微软雅黑" w:hint="eastAsia"/>
          <w:sz w:val="19"/>
        </w:rPr>
        <w:t>”</w:t>
      </w:r>
      <w:r>
        <w:rPr>
          <w:rFonts w:ascii="微软雅黑" w:eastAsia="微软雅黑" w:hAnsi="微软雅黑" w:hint="eastAsia"/>
          <w:sz w:val="19"/>
        </w:rPr>
        <w:t>即</w:t>
      </w:r>
      <w:r>
        <w:rPr>
          <w:rFonts w:ascii="微软雅黑" w:eastAsia="微软雅黑" w:hAnsi="微软雅黑" w:hint="eastAsia"/>
          <w:sz w:val="19"/>
        </w:rPr>
        <w:t>“</w:t>
      </w:r>
      <w:r>
        <w:rPr>
          <w:rFonts w:ascii="微软雅黑" w:eastAsia="微软雅黑" w:hAnsi="微软雅黑" w:hint="eastAsia"/>
          <w:sz w:val="19"/>
        </w:rPr>
        <w:t>平均采光系数</w:t>
      </w:r>
      <w:r>
        <w:rPr>
          <w:rFonts w:ascii="微软雅黑" w:eastAsia="微软雅黑" w:hAnsi="微软雅黑" w:hint="eastAsia"/>
          <w:sz w:val="19"/>
        </w:rPr>
        <w:t>”</w:t>
      </w:r>
      <w:r>
        <w:rPr>
          <w:rFonts w:ascii="微软雅黑" w:eastAsia="微软雅黑" w:hAnsi="微软雅黑" w:hint="eastAsia"/>
          <w:sz w:val="19"/>
        </w:rPr>
        <w:t>。</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经过上述统计，本项目内区采光系数达标面积比例为</w:t>
      </w:r>
      <w:r>
        <w:rPr>
          <w:rFonts w:ascii="微软雅黑" w:eastAsia="微软雅黑" w:hAnsi="微软雅黑"/>
          <w:sz w:val="21"/>
        </w:rPr>
        <w:t>63.7%</w:t>
      </w:r>
      <w:r>
        <w:rPr>
          <w:rFonts w:ascii="微软雅黑" w:eastAsia="微软雅黑" w:hAnsi="微软雅黑" w:hint="eastAsia"/>
          <w:sz w:val="21"/>
        </w:rPr>
        <w:t>，符合《绿色建筑评价标准》</w:t>
      </w:r>
      <w:r>
        <w:rPr>
          <w:rFonts w:ascii="微软雅黑" w:eastAsia="微软雅黑" w:hAnsi="微软雅黑"/>
          <w:sz w:val="21"/>
        </w:rPr>
        <w:t>GB/T 50378-2019</w:t>
      </w:r>
      <w:r>
        <w:rPr>
          <w:rFonts w:ascii="微软雅黑" w:eastAsia="微软雅黑" w:hAnsi="微软雅黑" w:hint="eastAsia"/>
          <w:sz w:val="21"/>
        </w:rPr>
        <w:t>第</w:t>
      </w:r>
      <w:r>
        <w:rPr>
          <w:rFonts w:ascii="微软雅黑" w:eastAsia="微软雅黑" w:hAnsi="微软雅黑"/>
          <w:sz w:val="21"/>
        </w:rPr>
        <w:t>5.2.8</w:t>
      </w:r>
      <w:r>
        <w:rPr>
          <w:rFonts w:ascii="微软雅黑" w:eastAsia="微软雅黑" w:hAnsi="微软雅黑" w:hint="eastAsia"/>
          <w:sz w:val="21"/>
        </w:rPr>
        <w:t>条关于内区的要求。</w:t>
      </w:r>
    </w:p>
    <w:p w:rsidR="00000000" w:rsidRDefault="007432ED">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4.2.5 </w:t>
      </w:r>
      <w:r>
        <w:rPr>
          <w:rFonts w:ascii="微软雅黑" w:eastAsia="微软雅黑" w:hAnsi="微软雅黑" w:hint="eastAsia"/>
          <w:b/>
          <w:spacing w:val="20"/>
        </w:rPr>
        <w:t>地下空间达标面积统计</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 xml:space="preserve">12 </w:t>
      </w:r>
      <w:r>
        <w:rPr>
          <w:rFonts w:ascii="宋体" w:hAnsi="宋体" w:hint="eastAsia"/>
          <w:sz w:val="20"/>
        </w:rPr>
        <w:t>地下空间采光系数达标面积比例</w:t>
      </w:r>
    </w:p>
    <w:tbl>
      <w:tblPr>
        <w:tblW w:w="0" w:type="auto"/>
        <w:jc w:val="center"/>
        <w:tblLayout w:type="fixed"/>
        <w:tblLook w:val="0000" w:firstRow="0" w:lastRow="0" w:firstColumn="0" w:lastColumn="0" w:noHBand="0" w:noVBand="0"/>
      </w:tblPr>
      <w:tblGrid>
        <w:gridCol w:w="2000"/>
        <w:gridCol w:w="3600"/>
        <w:gridCol w:w="1800"/>
        <w:gridCol w:w="1200"/>
      </w:tblGrid>
      <w:tr w:rsidR="00000000">
        <w:trPr>
          <w:jc w:val="center"/>
        </w:trPr>
        <w:tc>
          <w:tcPr>
            <w:tcW w:w="20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地下空间总计算面积</w:t>
            </w:r>
            <w:r>
              <w:rPr>
                <w:rFonts w:ascii="宋体" w:hAnsi="宋体"/>
                <w:b/>
                <w:sz w:val="18"/>
              </w:rPr>
              <w:br/>
            </w:r>
            <w:r>
              <w:rPr>
                <w:rFonts w:ascii="宋体" w:hAnsi="宋体" w:hint="eastAsia"/>
                <w:b/>
                <w:sz w:val="18"/>
              </w:rPr>
              <w:t>（㎡）</w:t>
            </w:r>
          </w:p>
        </w:tc>
        <w:tc>
          <w:tcPr>
            <w:tcW w:w="36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地下空间平均采光系数不小于</w:t>
            </w:r>
            <w:r>
              <w:rPr>
                <w:rFonts w:eastAsia="Times New Roman"/>
                <w:b/>
                <w:sz w:val="18"/>
              </w:rPr>
              <w:t>0.5%</w:t>
            </w:r>
            <w:r>
              <w:rPr>
                <w:rFonts w:ascii="宋体" w:hAnsi="宋体" w:hint="eastAsia"/>
                <w:b/>
                <w:sz w:val="18"/>
              </w:rPr>
              <w:t>的面积</w:t>
            </w:r>
            <w:r>
              <w:rPr>
                <w:rFonts w:ascii="宋体" w:hAnsi="宋体"/>
                <w:b/>
                <w:sz w:val="18"/>
              </w:rPr>
              <w:br/>
            </w:r>
            <w:r>
              <w:rPr>
                <w:rFonts w:ascii="宋体" w:hAnsi="宋体" w:hint="eastAsia"/>
                <w:b/>
                <w:sz w:val="18"/>
              </w:rPr>
              <w:t>（㎡）</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首层地下室面积</w:t>
            </w:r>
            <w:r>
              <w:rPr>
                <w:rFonts w:ascii="宋体" w:hAnsi="宋体"/>
                <w:b/>
                <w:sz w:val="18"/>
              </w:rPr>
              <w:br/>
            </w:r>
            <w:r>
              <w:rPr>
                <w:rFonts w:ascii="宋体" w:hAnsi="宋体" w:hint="eastAsia"/>
                <w:b/>
                <w:sz w:val="18"/>
              </w:rPr>
              <w:t>（㎡）</w:t>
            </w:r>
          </w:p>
        </w:tc>
        <w:tc>
          <w:tcPr>
            <w:tcW w:w="12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面积比例</w:t>
            </w:r>
            <w:r>
              <w:rPr>
                <w:rFonts w:ascii="宋体" w:hAnsi="宋体"/>
                <w:b/>
                <w:sz w:val="18"/>
              </w:rPr>
              <w:br/>
            </w:r>
            <w:r>
              <w:rPr>
                <w:rFonts w:ascii="宋体" w:hAnsi="宋体" w:hint="eastAsia"/>
                <w:b/>
                <w:sz w:val="18"/>
              </w:rPr>
              <w:t>（</w:t>
            </w:r>
            <w:r>
              <w:rPr>
                <w:rFonts w:eastAsia="Times New Roman"/>
                <w:b/>
                <w:sz w:val="18"/>
              </w:rPr>
              <w:t>%</w:t>
            </w:r>
            <w:r>
              <w:rPr>
                <w:rFonts w:ascii="宋体" w:hAnsi="宋体" w:hint="eastAsia"/>
                <w:b/>
                <w:sz w:val="18"/>
              </w:rPr>
              <w:t>）</w:t>
            </w:r>
          </w:p>
        </w:tc>
      </w:tr>
      <w:tr w:rsidR="00000000">
        <w:trPr>
          <w:jc w:val="center"/>
        </w:trPr>
        <w:tc>
          <w:tcPr>
            <w:tcW w:w="20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36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0.00</w:t>
            </w:r>
          </w:p>
        </w:tc>
        <w:tc>
          <w:tcPr>
            <w:tcW w:w="12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t>
            </w:r>
          </w:p>
        </w:tc>
      </w:tr>
    </w:tbl>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本项目无地下空间，故符合《绿色建筑评价标准》</w:t>
      </w:r>
      <w:r>
        <w:rPr>
          <w:rFonts w:ascii="微软雅黑" w:eastAsia="微软雅黑" w:hAnsi="微软雅黑"/>
          <w:sz w:val="21"/>
        </w:rPr>
        <w:t>GB/T 50378-2019</w:t>
      </w:r>
      <w:r>
        <w:rPr>
          <w:rFonts w:ascii="微软雅黑" w:eastAsia="微软雅黑" w:hAnsi="微软雅黑" w:hint="eastAsia"/>
          <w:sz w:val="21"/>
        </w:rPr>
        <w:t>第</w:t>
      </w:r>
      <w:r>
        <w:rPr>
          <w:rFonts w:ascii="微软雅黑" w:eastAsia="微软雅黑" w:hAnsi="微软雅黑"/>
          <w:sz w:val="21"/>
        </w:rPr>
        <w:t>5.2.8</w:t>
      </w:r>
      <w:r>
        <w:rPr>
          <w:rFonts w:ascii="微软雅黑" w:eastAsia="微软雅黑" w:hAnsi="微软雅黑" w:hint="eastAsia"/>
          <w:sz w:val="21"/>
        </w:rPr>
        <w:t>条关于地下室采光系数的要求。</w:t>
      </w:r>
    </w:p>
    <w:p w:rsidR="00000000" w:rsidRDefault="007432ED">
      <w:pPr>
        <w:pStyle w:val="3"/>
        <w:spacing w:before="100" w:after="100"/>
        <w:jc w:val="both"/>
        <w:rPr>
          <w:rFonts w:ascii="微软雅黑" w:eastAsia="微软雅黑" w:hAnsi="微软雅黑"/>
          <w:b/>
          <w:spacing w:val="20"/>
        </w:rPr>
      </w:pPr>
      <w:r>
        <w:rPr>
          <w:rFonts w:ascii="微软雅黑" w:eastAsia="微软雅黑" w:hAnsi="微软雅黑"/>
          <w:b/>
          <w:spacing w:val="20"/>
        </w:rPr>
        <w:t xml:space="preserve">4.2.6 </w:t>
      </w:r>
      <w:r>
        <w:rPr>
          <w:rFonts w:ascii="微软雅黑" w:eastAsia="微软雅黑" w:hAnsi="微软雅黑" w:hint="eastAsia"/>
          <w:b/>
          <w:spacing w:val="20"/>
        </w:rPr>
        <w:t>不舒适眩光指数计算</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本项目设计了一些控制眩光的措施，包括：（</w:t>
      </w:r>
      <w:r>
        <w:rPr>
          <w:rFonts w:ascii="微软雅黑" w:eastAsia="微软雅黑" w:hAnsi="微软雅黑"/>
          <w:sz w:val="21"/>
        </w:rPr>
        <w:t>1</w:t>
      </w:r>
      <w:r>
        <w:rPr>
          <w:rFonts w:ascii="微软雅黑" w:eastAsia="微软雅黑" w:hAnsi="微软雅黑" w:hint="eastAsia"/>
          <w:sz w:val="21"/>
        </w:rPr>
        <w:t>）主要功能房间的作业区可避免直射阳光；（</w:t>
      </w:r>
      <w:r>
        <w:rPr>
          <w:rFonts w:ascii="微软雅黑" w:eastAsia="微软雅黑" w:hAnsi="微软雅黑"/>
          <w:sz w:val="21"/>
        </w:rPr>
        <w:t>2</w:t>
      </w:r>
      <w:r>
        <w:rPr>
          <w:rFonts w:ascii="微软雅黑" w:eastAsia="微软雅黑" w:hAnsi="微软雅黑" w:hint="eastAsia"/>
          <w:sz w:val="21"/>
        </w:rPr>
        <w:t>）工作人员的视觉背景不是窗口；（</w:t>
      </w:r>
      <w:r>
        <w:rPr>
          <w:rFonts w:ascii="微软雅黑" w:eastAsia="微软雅黑" w:hAnsi="微软雅黑"/>
          <w:sz w:val="21"/>
        </w:rPr>
        <w:t>3</w:t>
      </w:r>
      <w:r>
        <w:rPr>
          <w:rFonts w:ascii="微软雅黑" w:eastAsia="微软雅黑" w:hAnsi="微软雅黑" w:hint="eastAsia"/>
          <w:sz w:val="21"/>
        </w:rPr>
        <w:t>）窗结构的内表面采用浅色饰面；（</w:t>
      </w:r>
      <w:r>
        <w:rPr>
          <w:rFonts w:ascii="微软雅黑" w:eastAsia="微软雅黑" w:hAnsi="微软雅黑"/>
          <w:sz w:val="21"/>
        </w:rPr>
        <w:t>4</w:t>
      </w:r>
      <w:r>
        <w:rPr>
          <w:rFonts w:ascii="微软雅黑" w:eastAsia="微软雅黑" w:hAnsi="微软雅黑" w:hint="eastAsia"/>
          <w:sz w:val="21"/>
        </w:rPr>
        <w:t>）窗周围的内墙面采用浅色饰面。</w:t>
      </w:r>
    </w:p>
    <w:p w:rsidR="00000000" w:rsidRDefault="007432ED">
      <w:pPr>
        <w:spacing w:before="60" w:after="20"/>
        <w:jc w:val="center"/>
        <w:rPr>
          <w:rFonts w:ascii="宋体" w:hAnsi="宋体"/>
          <w:sz w:val="20"/>
        </w:rPr>
      </w:pPr>
      <w:r>
        <w:rPr>
          <w:rFonts w:ascii="宋体" w:hAnsi="宋体" w:hint="eastAsia"/>
          <w:sz w:val="20"/>
        </w:rPr>
        <w:t>表</w:t>
      </w:r>
      <w:r>
        <w:rPr>
          <w:rFonts w:eastAsia="Times New Roman"/>
          <w:sz w:val="20"/>
        </w:rPr>
        <w:t xml:space="preserve">13 </w:t>
      </w:r>
      <w:r>
        <w:rPr>
          <w:rFonts w:ascii="宋体" w:hAnsi="宋体" w:hint="eastAsia"/>
          <w:sz w:val="20"/>
        </w:rPr>
        <w:t>不舒适眩光指数统计表</w:t>
      </w:r>
    </w:p>
    <w:tbl>
      <w:tblPr>
        <w:tblW w:w="0" w:type="auto"/>
        <w:jc w:val="center"/>
        <w:tblLayout w:type="fixed"/>
        <w:tblLook w:val="0000" w:firstRow="0" w:lastRow="0" w:firstColumn="0" w:lastColumn="0" w:noHBand="0" w:noVBand="0"/>
      </w:tblPr>
      <w:tblGrid>
        <w:gridCol w:w="1400"/>
        <w:gridCol w:w="1050"/>
        <w:gridCol w:w="1050"/>
        <w:gridCol w:w="1050"/>
        <w:gridCol w:w="1800"/>
        <w:gridCol w:w="2400"/>
        <w:gridCol w:w="1050"/>
        <w:gridCol w:w="1050"/>
      </w:tblGrid>
      <w:tr w:rsidR="00000000">
        <w:trPr>
          <w:jc w:val="center"/>
        </w:trPr>
        <w:tc>
          <w:tcPr>
            <w:tcW w:w="1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楼层</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房间类型</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房</w:t>
            </w:r>
            <w:r>
              <w:rPr>
                <w:rFonts w:ascii="宋体" w:hAnsi="宋体" w:hint="eastAsia"/>
                <w:b/>
                <w:sz w:val="18"/>
              </w:rPr>
              <w:t>间名称</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采光等级</w:t>
            </w:r>
          </w:p>
        </w:tc>
        <w:tc>
          <w:tcPr>
            <w:tcW w:w="18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窗编号</w:t>
            </w:r>
          </w:p>
        </w:tc>
        <w:tc>
          <w:tcPr>
            <w:tcW w:w="240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不舒适眩光指数（</w:t>
            </w:r>
            <w:r>
              <w:rPr>
                <w:rFonts w:eastAsia="Times New Roman"/>
                <w:b/>
                <w:sz w:val="18"/>
              </w:rPr>
              <w:t>DGI</w:t>
            </w:r>
            <w:r>
              <w:rPr>
                <w:rFonts w:ascii="宋体" w:hAnsi="宋体" w:hint="eastAsia"/>
                <w:b/>
                <w:sz w:val="18"/>
              </w:rPr>
              <w:t>）</w:t>
            </w:r>
            <w:r>
              <w:rPr>
                <w:rFonts w:ascii="宋体" w:hAnsi="宋体"/>
                <w:b/>
                <w:sz w:val="18"/>
              </w:rPr>
              <w:br/>
            </w:r>
            <w:r>
              <w:rPr>
                <w:rFonts w:ascii="宋体" w:hAnsi="宋体" w:hint="eastAsia"/>
                <w:b/>
                <w:sz w:val="18"/>
              </w:rPr>
              <w:t>最大值</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eastAsia="Times New Roman"/>
                <w:b/>
                <w:sz w:val="18"/>
              </w:rPr>
              <w:t>DGI</w:t>
            </w:r>
            <w:r>
              <w:rPr>
                <w:rFonts w:ascii="宋体" w:hAnsi="宋体" w:hint="eastAsia"/>
                <w:b/>
                <w:sz w:val="18"/>
              </w:rPr>
              <w:t>限值</w:t>
            </w:r>
          </w:p>
        </w:tc>
        <w:tc>
          <w:tcPr>
            <w:tcW w:w="1050" w:type="dxa"/>
            <w:tcBorders>
              <w:top w:val="single" w:sz="4" w:space="0" w:color="auto"/>
              <w:left w:val="single" w:sz="4" w:space="0" w:color="auto"/>
              <w:bottom w:val="single" w:sz="4" w:space="0" w:color="auto"/>
              <w:right w:val="single" w:sz="4" w:space="0" w:color="auto"/>
            </w:tcBorders>
            <w:shd w:val="clear" w:color="auto" w:fill="AFAFAF"/>
            <w:vAlign w:val="center"/>
          </w:tcPr>
          <w:p w:rsidR="00000000" w:rsidRDefault="007432ED">
            <w:pPr>
              <w:spacing w:before="25" w:after="25"/>
              <w:jc w:val="center"/>
              <w:rPr>
                <w:rFonts w:ascii="宋体" w:hAnsi="宋体"/>
                <w:b/>
                <w:sz w:val="18"/>
              </w:rPr>
            </w:pPr>
            <w:r>
              <w:rPr>
                <w:rFonts w:ascii="宋体" w:hAnsi="宋体" w:hint="eastAsia"/>
                <w:b/>
                <w:sz w:val="18"/>
              </w:rPr>
              <w:t>是否达标</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WIN01053</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w:t>
            </w:r>
            <w:r>
              <w:rPr>
                <w:rFonts w:ascii="宋体" w:hAnsi="宋体" w:hint="eastAsia"/>
                <w:sz w:val="18"/>
              </w:rPr>
              <w:lastRenderedPageBreak/>
              <w:t>办公室</w:t>
            </w:r>
            <w:r>
              <w:rPr>
                <w:rFonts w:eastAsia="Times New Roman"/>
                <w:sz w:val="18"/>
              </w:rPr>
              <w:t>RM01016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lastRenderedPageBreak/>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WIN01031</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14.8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WIN01050</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WIN01055</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WIN01016</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13.8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WIN01020</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RM01012</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WIN01021</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WIN01040</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RM01011</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WIN01046</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11.5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WIN01047</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RM01014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WIN01022</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RM01015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WIN01007</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14.7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RM01003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WIN01059</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RM01006</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WIN01015</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WIN01051</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11.3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WIN01026</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15.9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RM01008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WIN01011</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w:t>
            </w:r>
            <w:r>
              <w:rPr>
                <w:rFonts w:ascii="宋体" w:hAnsi="宋体" w:hint="eastAsia"/>
                <w:sz w:val="18"/>
              </w:rPr>
              <w:t>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WIN01057</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19.7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RM01021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WIN01033</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WIN01045</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WIN01003</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19.2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WIN01036</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WIN01030</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19.2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RM01023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WIN01004</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WIN02037</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RM02021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WIN02041</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12.8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WIN02019</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WIN02020</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WIN02038</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WIN02015</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11.0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WIN02040</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16.2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WIN02033</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7.3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RM02008</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WIN02007</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5.6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WIN02013</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RM02013</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WIN02023</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WIN02018</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RM02006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WIN02001</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RM02018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WIN02029</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RM02014</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WIN02025</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16.7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WIN02024</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11.6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3</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RM03008</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WIN03015</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16.6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WIN03030</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14.8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RM03009</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WIN03007</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4.8</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WIN03014</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RM03004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WIN03016</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RM03013</w:t>
            </w:r>
          </w:p>
        </w:tc>
        <w:tc>
          <w:tcPr>
            <w:tcW w:w="1050" w:type="dxa"/>
            <w:vMerge w:val="restart"/>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WIN03021</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14.9</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WIN03023</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15.1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会议室</w:t>
            </w:r>
            <w:r>
              <w:rPr>
                <w:rFonts w:eastAsia="Times New Roman"/>
                <w:sz w:val="18"/>
              </w:rPr>
              <w:t>RM03012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WIN03022</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11.7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WIN03032</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RM03015</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WIN03027</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RM03016</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WIN03017</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17.1</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教师办公室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其它</w:t>
            </w:r>
            <w:r>
              <w:rPr>
                <w:rFonts w:eastAsia="Times New Roman"/>
                <w:sz w:val="18"/>
              </w:rPr>
              <w:t>RM03014</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WIN03018</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18.0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RM03002</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WIN03033</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r w:rsidR="00000000">
        <w:trPr>
          <w:jc w:val="center"/>
        </w:trPr>
        <w:tc>
          <w:tcPr>
            <w:tcW w:w="1400" w:type="dxa"/>
            <w:vMerge/>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普通教室</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办公</w:t>
            </w:r>
            <w:r>
              <w:rPr>
                <w:rFonts w:eastAsia="Times New Roman"/>
                <w:sz w:val="18"/>
              </w:rPr>
              <w:t>-</w:t>
            </w:r>
            <w:r>
              <w:rPr>
                <w:rFonts w:ascii="宋体" w:hAnsi="宋体" w:hint="eastAsia"/>
                <w:sz w:val="18"/>
              </w:rPr>
              <w:t>普通办公室</w:t>
            </w:r>
            <w:r>
              <w:rPr>
                <w:rFonts w:eastAsia="Times New Roman"/>
                <w:sz w:val="18"/>
              </w:rPr>
              <w:t>RM03007</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III</w:t>
            </w:r>
          </w:p>
        </w:tc>
        <w:tc>
          <w:tcPr>
            <w:tcW w:w="18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WIN03001</w:t>
            </w:r>
          </w:p>
        </w:tc>
        <w:tc>
          <w:tcPr>
            <w:tcW w:w="240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无眩光</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eastAsia="Times New Roman"/>
                <w:sz w:val="18"/>
              </w:rPr>
              <w:t>25.0</w:t>
            </w:r>
          </w:p>
        </w:tc>
        <w:tc>
          <w:tcPr>
            <w:tcW w:w="1050" w:type="dxa"/>
            <w:tcBorders>
              <w:top w:val="single" w:sz="4" w:space="0" w:color="auto"/>
              <w:left w:val="single" w:sz="4" w:space="0" w:color="auto"/>
              <w:bottom w:val="single" w:sz="4" w:space="0" w:color="auto"/>
              <w:right w:val="single" w:sz="4" w:space="0" w:color="auto"/>
            </w:tcBorders>
            <w:vAlign w:val="center"/>
          </w:tcPr>
          <w:p w:rsidR="00000000" w:rsidRDefault="007432ED">
            <w:pPr>
              <w:spacing w:before="25" w:after="25"/>
              <w:jc w:val="center"/>
              <w:rPr>
                <w:rFonts w:ascii="宋体" w:hAnsi="宋体"/>
                <w:sz w:val="18"/>
              </w:rPr>
            </w:pPr>
            <w:r>
              <w:rPr>
                <w:rFonts w:ascii="宋体" w:hAnsi="宋体" w:hint="eastAsia"/>
                <w:sz w:val="18"/>
              </w:rPr>
              <w:t>是</w:t>
            </w:r>
          </w:p>
        </w:tc>
      </w:tr>
    </w:tbl>
    <w:p w:rsidR="00000000" w:rsidRDefault="007432ED">
      <w:pPr>
        <w:pStyle w:val="1"/>
        <w:spacing w:before="200" w:after="200"/>
        <w:jc w:val="both"/>
        <w:rPr>
          <w:rFonts w:ascii="微软雅黑" w:eastAsia="微软雅黑" w:hAnsi="微软雅黑"/>
          <w:b/>
          <w:spacing w:val="20"/>
          <w:sz w:val="30"/>
        </w:rPr>
      </w:pPr>
      <w:r>
        <w:rPr>
          <w:rFonts w:ascii="微软雅黑" w:eastAsia="微软雅黑" w:hAnsi="微软雅黑" w:hint="eastAsia"/>
          <w:b/>
          <w:spacing w:val="20"/>
          <w:sz w:val="30"/>
        </w:rPr>
        <w:lastRenderedPageBreak/>
        <w:t>五、结论</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根据《绿色建筑评价标准》</w:t>
      </w:r>
      <w:r>
        <w:rPr>
          <w:rFonts w:ascii="微软雅黑" w:eastAsia="微软雅黑" w:hAnsi="微软雅黑"/>
          <w:sz w:val="21"/>
        </w:rPr>
        <w:t>GB/T 50378-2019</w:t>
      </w:r>
      <w:r>
        <w:rPr>
          <w:rFonts w:ascii="微软雅黑" w:eastAsia="微软雅黑" w:hAnsi="微软雅黑" w:hint="eastAsia"/>
          <w:sz w:val="21"/>
        </w:rPr>
        <w:t>、《建筑采光设计标准》</w:t>
      </w:r>
      <w:r>
        <w:rPr>
          <w:rFonts w:ascii="微软雅黑" w:eastAsia="微软雅黑" w:hAnsi="微软雅黑"/>
          <w:sz w:val="21"/>
        </w:rPr>
        <w:t>GB 50033-2013</w:t>
      </w:r>
      <w:r>
        <w:rPr>
          <w:rFonts w:ascii="微软雅黑" w:eastAsia="微软雅黑" w:hAnsi="微软雅黑" w:hint="eastAsia"/>
          <w:sz w:val="21"/>
        </w:rPr>
        <w:t>的有关规定：</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1. </w:t>
      </w:r>
      <w:r>
        <w:rPr>
          <w:rFonts w:ascii="微软雅黑" w:eastAsia="微软雅黑" w:hAnsi="微软雅黑" w:hint="eastAsia"/>
          <w:sz w:val="21"/>
        </w:rPr>
        <w:t>公共建筑内区采光系数满足采光要求的面积比例为</w:t>
      </w:r>
      <w:r>
        <w:rPr>
          <w:rFonts w:ascii="微软雅黑" w:eastAsia="微软雅黑" w:hAnsi="微软雅黑"/>
          <w:sz w:val="21"/>
        </w:rPr>
        <w:t>63.7%</w:t>
      </w:r>
      <w:r>
        <w:rPr>
          <w:rFonts w:ascii="微软雅黑" w:eastAsia="微软雅黑" w:hAnsi="微软雅黑" w:hint="eastAsia"/>
          <w:sz w:val="21"/>
        </w:rPr>
        <w:t>，得</w:t>
      </w:r>
      <w:r>
        <w:rPr>
          <w:rFonts w:ascii="微软雅黑" w:eastAsia="微软雅黑" w:hAnsi="微软雅黑"/>
          <w:sz w:val="21"/>
        </w:rPr>
        <w:t>3</w:t>
      </w:r>
      <w:r>
        <w:rPr>
          <w:rFonts w:ascii="微软雅黑" w:eastAsia="微软雅黑" w:hAnsi="微软雅黑" w:hint="eastAsia"/>
          <w:sz w:val="21"/>
        </w:rPr>
        <w:t>分。</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2. </w:t>
      </w:r>
      <w:r>
        <w:rPr>
          <w:rFonts w:ascii="微软雅黑" w:eastAsia="微软雅黑" w:hAnsi="微软雅黑" w:hint="eastAsia"/>
          <w:sz w:val="21"/>
        </w:rPr>
        <w:t>本项目无地下空间，直接得</w:t>
      </w:r>
      <w:r>
        <w:rPr>
          <w:rFonts w:ascii="微软雅黑" w:eastAsia="微软雅黑" w:hAnsi="微软雅黑"/>
          <w:sz w:val="21"/>
        </w:rPr>
        <w:t>3</w:t>
      </w:r>
      <w:r>
        <w:rPr>
          <w:rFonts w:ascii="微软雅黑" w:eastAsia="微软雅黑" w:hAnsi="微软雅黑" w:hint="eastAsia"/>
          <w:sz w:val="21"/>
        </w:rPr>
        <w:t>分。</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3. </w:t>
      </w:r>
      <w:r>
        <w:rPr>
          <w:rFonts w:ascii="微软雅黑" w:eastAsia="微软雅黑" w:hAnsi="微软雅黑" w:hint="eastAsia"/>
          <w:sz w:val="21"/>
        </w:rPr>
        <w:t>公共建筑室内主要功能空间</w:t>
      </w:r>
      <w:r>
        <w:rPr>
          <w:rFonts w:ascii="微软雅黑" w:eastAsia="微软雅黑" w:hAnsi="微软雅黑"/>
          <w:sz w:val="21"/>
        </w:rPr>
        <w:t>61.7%</w:t>
      </w:r>
      <w:r>
        <w:rPr>
          <w:rFonts w:ascii="微软雅黑" w:eastAsia="微软雅黑" w:hAnsi="微软雅黑" w:hint="eastAsia"/>
          <w:sz w:val="21"/>
        </w:rPr>
        <w:t>面积比例区域的采光照度</w:t>
      </w:r>
      <w:r>
        <w:rPr>
          <w:rFonts w:ascii="微软雅黑" w:eastAsia="微软雅黑" w:hAnsi="微软雅黑" w:hint="eastAsia"/>
          <w:sz w:val="21"/>
        </w:rPr>
        <w:t>值不低于采光要求的小时数平均不少于</w:t>
      </w:r>
      <w:r>
        <w:rPr>
          <w:rFonts w:ascii="微软雅黑" w:eastAsia="微软雅黑" w:hAnsi="微软雅黑"/>
          <w:sz w:val="21"/>
        </w:rPr>
        <w:t>4h/d</w:t>
      </w:r>
      <w:r>
        <w:rPr>
          <w:rFonts w:ascii="微软雅黑" w:eastAsia="微软雅黑" w:hAnsi="微软雅黑" w:hint="eastAsia"/>
          <w:sz w:val="21"/>
        </w:rPr>
        <w:t>，公建部分得</w:t>
      </w:r>
      <w:r>
        <w:rPr>
          <w:rFonts w:ascii="微软雅黑" w:eastAsia="微软雅黑" w:hAnsi="微软雅黑"/>
          <w:sz w:val="21"/>
        </w:rPr>
        <w:t>3</w:t>
      </w:r>
      <w:r>
        <w:rPr>
          <w:rFonts w:ascii="微软雅黑" w:eastAsia="微软雅黑" w:hAnsi="微软雅黑" w:hint="eastAsia"/>
          <w:sz w:val="21"/>
        </w:rPr>
        <w:t>分。</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sz w:val="21"/>
        </w:rPr>
        <w:t xml:space="preserve">4. </w:t>
      </w:r>
      <w:r>
        <w:rPr>
          <w:rFonts w:ascii="微软雅黑" w:eastAsia="微软雅黑" w:hAnsi="微软雅黑" w:hint="eastAsia"/>
          <w:sz w:val="21"/>
        </w:rPr>
        <w:t>本项目主要功能房间眩光指数满足要求，得</w:t>
      </w:r>
      <w:r>
        <w:rPr>
          <w:rFonts w:ascii="微软雅黑" w:eastAsia="微软雅黑" w:hAnsi="微软雅黑"/>
          <w:sz w:val="21"/>
        </w:rPr>
        <w:t>3</w:t>
      </w:r>
      <w:r>
        <w:rPr>
          <w:rFonts w:ascii="微软雅黑" w:eastAsia="微软雅黑" w:hAnsi="微软雅黑" w:hint="eastAsia"/>
          <w:sz w:val="21"/>
        </w:rPr>
        <w:t>分。</w:t>
      </w:r>
    </w:p>
    <w:p w:rsidR="00000000" w:rsidRDefault="007432ED">
      <w:pPr>
        <w:spacing w:line="400" w:lineRule="atLeast"/>
        <w:ind w:firstLine="420"/>
        <w:jc w:val="both"/>
        <w:rPr>
          <w:rFonts w:ascii="微软雅黑" w:eastAsia="微软雅黑" w:hAnsi="微软雅黑"/>
          <w:sz w:val="21"/>
        </w:rPr>
      </w:pPr>
      <w:r>
        <w:rPr>
          <w:rFonts w:ascii="微软雅黑" w:eastAsia="微软雅黑" w:hAnsi="微软雅黑" w:hint="eastAsia"/>
          <w:sz w:val="21"/>
        </w:rPr>
        <w:t>综上所述，本项目共计得</w:t>
      </w:r>
      <w:r>
        <w:rPr>
          <w:rFonts w:ascii="微软雅黑" w:eastAsia="微软雅黑" w:hAnsi="微软雅黑"/>
          <w:sz w:val="21"/>
        </w:rPr>
        <w:t>12</w:t>
      </w:r>
      <w:r>
        <w:rPr>
          <w:rFonts w:ascii="微软雅黑" w:eastAsia="微软雅黑" w:hAnsi="微软雅黑" w:hint="eastAsia"/>
          <w:sz w:val="21"/>
        </w:rPr>
        <w:t>分。</w:t>
      </w:r>
    </w:p>
    <w:p w:rsidR="007432ED" w:rsidRDefault="007432ED">
      <w:pPr>
        <w:spacing w:line="400" w:lineRule="atLeast"/>
        <w:ind w:firstLine="420"/>
        <w:jc w:val="both"/>
        <w:rPr>
          <w:rFonts w:ascii="微软雅黑" w:eastAsia="微软雅黑" w:hAnsi="微软雅黑"/>
          <w:sz w:val="21"/>
        </w:rPr>
      </w:pPr>
    </w:p>
    <w:sectPr w:rsidR="007432ED">
      <w:headerReference w:type="default" r:id="rId22"/>
      <w:footerReference w:type="default" r:id="rId23"/>
      <w:pgSz w:w="11905" w:h="16837"/>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2ED" w:rsidRDefault="007432ED">
      <w:r>
        <w:separator/>
      </w:r>
    </w:p>
  </w:endnote>
  <w:endnote w:type="continuationSeparator" w:id="0">
    <w:p w:rsidR="007432ED" w:rsidRDefault="00743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altName w:val="微软雅黑"/>
    <w:panose1 w:val="020B0503020204020204"/>
    <w:charset w:val="86"/>
    <w:family w:val="swiss"/>
    <w:pitch w:val="variable"/>
    <w:sig w:usb0="80000287" w:usb1="2ACF3C50" w:usb2="00000016" w:usb3="00000000" w:csb0="0004001F" w:csb1="00000000"/>
  </w:font>
  <w:font w:name="黑体">
    <w:altName w:val="黑体"/>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432E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2ED" w:rsidRDefault="007432ED">
      <w:r>
        <w:separator/>
      </w:r>
    </w:p>
  </w:footnote>
  <w:footnote w:type="continuationSeparator" w:id="0">
    <w:p w:rsidR="007432ED" w:rsidRDefault="00743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432E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3854C8"/>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69565E3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028E42C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6E616A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BF5EFD9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3D8AC5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AE44DB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69C5AA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E0899D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7843E2A"/>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Y3NGY4MDUwMDA3ZmVkZDZkMmMzZGUwNzQ2ZDQzMTkifQ=="/>
  </w:docVars>
  <w:rsids>
    <w:rsidRoot w:val="00005E70"/>
    <w:rsid w:val="00000000"/>
    <w:rsid w:val="00005E70"/>
    <w:rsid w:val="00743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72C3AD-F890-4BA4-98D5-64975EFE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header" w:unhideWhenUsed="1"/>
    <w:lsdException w:name="footer" w:unhideWhenUsed="1"/>
    <w:lsdException w:name="caption" w:semiHidden="1" w:unhideWhenUsed="1"/>
    <w:lsdException w:name="Default Paragraph Font" w:unhideWhenUsed="1" w:qFormat="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nhideWhenUsed="1" w:qFormat="0"/>
    <w:lsdException w:name="Revision"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a">
    <w:name w:val="Normal"/>
    <w:uiPriority w:val="99"/>
    <w:qFormat/>
    <w:pPr>
      <w:widowControl w:val="0"/>
      <w:autoSpaceDE w:val="0"/>
      <w:autoSpaceDN w:val="0"/>
      <w:adjustRightInd w:val="0"/>
    </w:pPr>
    <w:rPr>
      <w:sz w:val="24"/>
      <w:szCs w:val="24"/>
    </w:rPr>
  </w:style>
  <w:style w:type="paragraph" w:styleId="1">
    <w:name w:val="heading 1"/>
    <w:basedOn w:val="a"/>
    <w:link w:val="10"/>
    <w:uiPriority w:val="99"/>
    <w:qFormat/>
    <w:pPr>
      <w:outlineLvl w:val="0"/>
    </w:pPr>
  </w:style>
  <w:style w:type="paragraph" w:styleId="2">
    <w:name w:val="heading 2"/>
    <w:basedOn w:val="a"/>
    <w:link w:val="20"/>
    <w:uiPriority w:val="99"/>
    <w:qFormat/>
    <w:pPr>
      <w:outlineLvl w:val="1"/>
    </w:pPr>
  </w:style>
  <w:style w:type="paragraph" w:styleId="3">
    <w:name w:val="heading 3"/>
    <w:basedOn w:val="a"/>
    <w:link w:val="30"/>
    <w:uiPriority w:val="99"/>
    <w:qFormat/>
    <w:pPr>
      <w:outlineLvl w:val="2"/>
    </w:p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cs="Times New Roman"/>
      <w:b/>
      <w:bCs/>
      <w:kern w:val="44"/>
      <w:sz w:val="44"/>
      <w:szCs w:val="44"/>
    </w:rPr>
  </w:style>
  <w:style w:type="character" w:customStyle="1" w:styleId="20">
    <w:name w:val="标题 2 字符"/>
    <w:link w:val="2"/>
    <w:uiPriority w:val="9"/>
    <w:semiHidden/>
    <w:rPr>
      <w:rFonts w:ascii="等线 Light" w:eastAsia="等线 Light" w:hAnsi="等线 Light" w:cs="Times New Roman"/>
      <w:b/>
      <w:bCs/>
      <w:kern w:val="0"/>
      <w:sz w:val="32"/>
      <w:szCs w:val="32"/>
    </w:rPr>
  </w:style>
  <w:style w:type="character" w:customStyle="1" w:styleId="30">
    <w:name w:val="标题 3 字符"/>
    <w:link w:val="3"/>
    <w:uiPriority w:val="9"/>
    <w:semiHidden/>
    <w:rPr>
      <w:rFonts w:cs="Times New Roman"/>
      <w:b/>
      <w:bCs/>
      <w:kern w:val="0"/>
      <w:sz w:val="32"/>
      <w:szCs w:val="32"/>
    </w:rPr>
  </w:style>
  <w:style w:type="paragraph" w:styleId="a3">
    <w:name w:val="footer"/>
    <w:basedOn w:val="a"/>
    <w:link w:val="a4"/>
    <w:uiPriority w:val="99"/>
    <w:unhideWhenUsed/>
    <w:qFormat/>
    <w:pPr>
      <w:tabs>
        <w:tab w:val="center" w:pos="4153"/>
        <w:tab w:val="right" w:pos="8306"/>
      </w:tabs>
      <w:snapToGrid w:val="0"/>
    </w:pPr>
    <w:rPr>
      <w:sz w:val="18"/>
    </w:rPr>
  </w:style>
  <w:style w:type="character" w:customStyle="1" w:styleId="a4">
    <w:name w:val="页脚 字符"/>
    <w:link w:val="a3"/>
    <w:uiPriority w:val="99"/>
    <w:semiHidden/>
    <w:rPr>
      <w:rFonts w:cs="Times New Roman"/>
      <w:kern w:val="0"/>
      <w:sz w:val="18"/>
      <w:szCs w:val="18"/>
    </w:rPr>
  </w:style>
  <w:style w:type="paragraph" w:styleId="a5">
    <w:name w:val="header"/>
    <w:basedOn w:val="a"/>
    <w:link w:val="a6"/>
    <w:uiPriority w:val="99"/>
    <w:unhideWhenUsed/>
    <w:qFormat/>
    <w:pPr>
      <w:tabs>
        <w:tab w:val="center" w:pos="4153"/>
        <w:tab w:val="right" w:pos="8306"/>
      </w:tabs>
      <w:snapToGrid w:val="0"/>
      <w:jc w:val="both"/>
    </w:pPr>
    <w:rPr>
      <w:sz w:val="18"/>
    </w:rPr>
  </w:style>
  <w:style w:type="character" w:customStyle="1" w:styleId="a6">
    <w:name w:val="页眉 字符"/>
    <w:link w:val="a5"/>
    <w:uiPriority w:val="99"/>
    <w:semiHidden/>
    <w:rPr>
      <w:rFonts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2096</Words>
  <Characters>11951</Characters>
  <Application>Microsoft Office Word</Application>
  <DocSecurity>0</DocSecurity>
  <Lines>99</Lines>
  <Paragraphs>28</Paragraphs>
  <ScaleCrop>false</ScaleCrop>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Breeze</dc:creator>
  <cp:keywords/>
  <dc:description/>
  <cp:lastModifiedBy>Breeze</cp:lastModifiedBy>
  <cp:revision>2</cp:revision>
  <dcterms:created xsi:type="dcterms:W3CDTF">2023-03-05T13:39:00Z</dcterms:created>
  <dcterms:modified xsi:type="dcterms:W3CDTF">2023-03-05T13:39:00Z</dcterms:modified>
</cp:coreProperties>
</file>