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00559">
      <w:pPr>
        <w:spacing w:before="1540" w:after="24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1.6pt;height:59.4pt;mso-wrap-style:square;mso-position-horizontal-relative:page;mso-position-vertical-relative:page">
            <v:imagedata r:id="rId6" o:title=""/>
          </v:shape>
        </w:pict>
      </w:r>
    </w:p>
    <w:p w:rsidR="00000000" w:rsidRDefault="00900559">
      <w:pPr>
        <w:pBdr>
          <w:top w:val="single" w:sz="6" w:space="0" w:color="auto"/>
        </w:pBdr>
        <w:jc w:val="center"/>
        <w:rPr>
          <w:rFonts w:ascii="微软雅黑" w:eastAsia="微软雅黑" w:hAnsi="微软雅黑"/>
          <w:b/>
          <w:sz w:val="52"/>
        </w:rPr>
      </w:pPr>
      <w:r>
        <w:rPr>
          <w:rFonts w:ascii="微软雅黑" w:eastAsia="微软雅黑" w:hAnsi="微软雅黑" w:hint="eastAsia"/>
          <w:b/>
          <w:sz w:val="52"/>
        </w:rPr>
        <w:t>室外声环境</w:t>
      </w:r>
    </w:p>
    <w:p w:rsidR="00000000" w:rsidRDefault="00900559">
      <w:pPr>
        <w:pBdr>
          <w:bottom w:val="single" w:sz="6" w:space="0" w:color="auto"/>
        </w:pBdr>
        <w:jc w:val="center"/>
        <w:rPr>
          <w:rFonts w:ascii="微软雅黑" w:eastAsia="微软雅黑" w:hAnsi="微软雅黑"/>
          <w:b/>
          <w:sz w:val="52"/>
        </w:rPr>
      </w:pPr>
      <w:r>
        <w:rPr>
          <w:rFonts w:ascii="微软雅黑" w:eastAsia="微软雅黑" w:hAnsi="微软雅黑" w:hint="eastAsia"/>
          <w:b/>
          <w:sz w:val="52"/>
        </w:rPr>
        <w:t>模拟分析报告</w:t>
      </w:r>
    </w:p>
    <w:p w:rsidR="00000000" w:rsidRDefault="00900559">
      <w:pPr>
        <w:spacing w:before="480"/>
        <w:jc w:val="center"/>
      </w:pPr>
      <w:r>
        <w:pict>
          <v:shape id="图片 2" o:spid="_x0000_i1026" type="#_x0000_t75" style="width:60pt;height:37.8pt;mso-wrap-style:square;mso-position-horizontal-relative:page;mso-position-vertical-relative:page">
            <v:imagedata r:id="rId7" o:title=""/>
          </v:shape>
        </w:pict>
      </w:r>
    </w:p>
    <w:p w:rsidR="00000000" w:rsidRDefault="00900559">
      <w:pPr>
        <w:spacing w:before="480"/>
        <w:jc w:val="center"/>
        <w:sectPr w:rsidR="00000000">
          <w:pgSz w:w="11905" w:h="16837"/>
          <w:pgMar w:top="1440" w:right="1800" w:bottom="1440" w:left="1800" w:header="720" w:footer="720" w:gutter="0"/>
          <w:pgNumType w:start="1"/>
          <w:cols w:space="720"/>
        </w:sectPr>
      </w:pPr>
    </w:p>
    <w:p w:rsidR="00000000" w:rsidRDefault="00900559">
      <w:pPr>
        <w:pStyle w:val="1"/>
        <w:spacing w:before="300" w:after="300"/>
        <w:jc w:val="center"/>
        <w:rPr>
          <w:rFonts w:ascii="黑体" w:eastAsia="黑体" w:hAnsi="黑体"/>
          <w:b/>
          <w:spacing w:val="20"/>
          <w:sz w:val="32"/>
        </w:rPr>
      </w:pPr>
      <w:r>
        <w:rPr>
          <w:rFonts w:ascii="黑体" w:eastAsia="黑体" w:hAnsi="黑体" w:hint="eastAsia"/>
          <w:b/>
          <w:spacing w:val="20"/>
          <w:sz w:val="32"/>
        </w:rPr>
        <w:lastRenderedPageBreak/>
        <w:t>室外声环境模拟分析报告</w:t>
      </w:r>
    </w:p>
    <w:p w:rsidR="00000000" w:rsidRDefault="00900559">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项目名称：高校研究生活动中心</w:t>
      </w:r>
    </w:p>
    <w:p w:rsidR="00000000" w:rsidRDefault="00900559">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项目地址：江西省南昌市</w:t>
      </w:r>
    </w:p>
    <w:p w:rsidR="00000000" w:rsidRDefault="00900559">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建设单位：</w:t>
      </w:r>
    </w:p>
    <w:p w:rsidR="00000000" w:rsidRDefault="00900559">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设计单位：</w:t>
      </w:r>
    </w:p>
    <w:p w:rsidR="00000000" w:rsidRDefault="00900559">
      <w:pPr>
        <w:spacing w:before="20" w:after="20"/>
        <w:jc w:val="both"/>
        <w:rPr>
          <w:rFonts w:ascii="微软雅黑" w:eastAsia="微软雅黑" w:hAnsi="微软雅黑"/>
          <w:spacing w:val="20"/>
          <w:sz w:val="22"/>
        </w:rPr>
      </w:pPr>
      <w:r>
        <w:rPr>
          <w:rFonts w:ascii="微软雅黑" w:eastAsia="微软雅黑" w:hAnsi="微软雅黑" w:hint="eastAsia"/>
          <w:spacing w:val="20"/>
          <w:sz w:val="22"/>
        </w:rPr>
        <w:t>参与单位：</w:t>
      </w:r>
    </w:p>
    <w:p w:rsidR="00000000" w:rsidRDefault="00900559">
      <w:pPr>
        <w:pStyle w:val="1"/>
        <w:spacing w:before="200" w:after="200"/>
        <w:jc w:val="both"/>
        <w:rPr>
          <w:rFonts w:ascii="华文中宋" w:eastAsia="华文中宋" w:hAnsi="华文中宋"/>
          <w:b/>
          <w:spacing w:val="20"/>
        </w:rPr>
      </w:pPr>
      <w:r>
        <w:rPr>
          <w:rFonts w:ascii="华文中宋" w:eastAsia="华文中宋" w:hAnsi="华文中宋" w:hint="eastAsia"/>
          <w:b/>
          <w:spacing w:val="20"/>
        </w:rPr>
        <w:t>规范标准参考依据：</w:t>
      </w:r>
    </w:p>
    <w:p w:rsidR="00000000" w:rsidRDefault="00900559">
      <w:pPr>
        <w:spacing w:before="20" w:after="20"/>
        <w:jc w:val="both"/>
        <w:rPr>
          <w:rFonts w:ascii="华文中宋" w:eastAsia="华文中宋" w:hAnsi="华文中宋"/>
          <w:spacing w:val="20"/>
          <w:sz w:val="21"/>
        </w:rPr>
      </w:pPr>
      <w:r>
        <w:rPr>
          <w:rFonts w:ascii="华文中宋" w:eastAsia="华文中宋" w:hAnsi="华文中宋"/>
          <w:spacing w:val="20"/>
          <w:sz w:val="21"/>
        </w:rPr>
        <w:t>1</w:t>
      </w:r>
      <w:r>
        <w:rPr>
          <w:rFonts w:ascii="华文中宋" w:eastAsia="华文中宋" w:hAnsi="华文中宋" w:hint="eastAsia"/>
          <w:spacing w:val="20"/>
          <w:sz w:val="21"/>
        </w:rPr>
        <w:t>、《绿色建筑评价标准》</w:t>
      </w:r>
      <w:r>
        <w:rPr>
          <w:rFonts w:ascii="华文中宋" w:eastAsia="华文中宋" w:hAnsi="华文中宋"/>
          <w:spacing w:val="20"/>
          <w:sz w:val="21"/>
        </w:rPr>
        <w:t>GB/T 50378-2019</w:t>
      </w:r>
    </w:p>
    <w:p w:rsidR="00000000" w:rsidRDefault="00900559">
      <w:pPr>
        <w:spacing w:before="20" w:after="20"/>
        <w:jc w:val="both"/>
        <w:rPr>
          <w:rFonts w:ascii="华文中宋" w:eastAsia="华文中宋" w:hAnsi="华文中宋"/>
          <w:spacing w:val="20"/>
          <w:sz w:val="21"/>
        </w:rPr>
      </w:pPr>
      <w:r>
        <w:rPr>
          <w:rFonts w:ascii="华文中宋" w:eastAsia="华文中宋" w:hAnsi="华文中宋"/>
          <w:spacing w:val="20"/>
          <w:sz w:val="21"/>
        </w:rPr>
        <w:t>2</w:t>
      </w:r>
      <w:r>
        <w:rPr>
          <w:rFonts w:ascii="华文中宋" w:eastAsia="华文中宋" w:hAnsi="华文中宋" w:hint="eastAsia"/>
          <w:spacing w:val="20"/>
          <w:sz w:val="21"/>
        </w:rPr>
        <w:t>、《民用建筑绿色性能计算标准》</w:t>
      </w:r>
      <w:r>
        <w:rPr>
          <w:rFonts w:ascii="华文中宋" w:eastAsia="华文中宋" w:hAnsi="华文中宋"/>
          <w:spacing w:val="20"/>
          <w:sz w:val="21"/>
        </w:rPr>
        <w:t>JGJ / T 449 - 2018</w:t>
      </w:r>
    </w:p>
    <w:p w:rsidR="00000000" w:rsidRDefault="00900559">
      <w:pPr>
        <w:spacing w:before="20" w:after="20"/>
        <w:jc w:val="both"/>
        <w:rPr>
          <w:rFonts w:ascii="华文中宋" w:eastAsia="华文中宋" w:hAnsi="华文中宋"/>
          <w:spacing w:val="20"/>
          <w:sz w:val="21"/>
        </w:rPr>
      </w:pPr>
      <w:r>
        <w:rPr>
          <w:rFonts w:ascii="华文中宋" w:eastAsia="华文中宋" w:hAnsi="华文中宋"/>
          <w:spacing w:val="20"/>
          <w:sz w:val="21"/>
        </w:rPr>
        <w:t>3</w:t>
      </w:r>
      <w:r>
        <w:rPr>
          <w:rFonts w:ascii="华文中宋" w:eastAsia="华文中宋" w:hAnsi="华文中宋" w:hint="eastAsia"/>
          <w:spacing w:val="20"/>
          <w:sz w:val="21"/>
        </w:rPr>
        <w:t>、《声环境质量标准》</w:t>
      </w:r>
      <w:r>
        <w:rPr>
          <w:rFonts w:ascii="华文中宋" w:eastAsia="华文中宋" w:hAnsi="华文中宋"/>
          <w:spacing w:val="20"/>
          <w:sz w:val="21"/>
        </w:rPr>
        <w:t>GB3096-2008</w:t>
      </w:r>
    </w:p>
    <w:p w:rsidR="00000000" w:rsidRDefault="00900559">
      <w:pPr>
        <w:spacing w:before="20" w:after="20"/>
        <w:jc w:val="both"/>
        <w:rPr>
          <w:rFonts w:ascii="华文中宋" w:eastAsia="华文中宋" w:hAnsi="华文中宋"/>
          <w:spacing w:val="20"/>
          <w:sz w:val="21"/>
        </w:rPr>
      </w:pPr>
      <w:r>
        <w:rPr>
          <w:rFonts w:ascii="华文中宋" w:eastAsia="华文中宋" w:hAnsi="华文中宋"/>
          <w:spacing w:val="20"/>
          <w:sz w:val="21"/>
        </w:rPr>
        <w:t>4</w:t>
      </w:r>
      <w:r>
        <w:rPr>
          <w:rFonts w:ascii="华文中宋" w:eastAsia="华文中宋" w:hAnsi="华文中宋" w:hint="eastAsia"/>
          <w:spacing w:val="20"/>
          <w:sz w:val="21"/>
        </w:rPr>
        <w:t>、《环境影响评价技术导则声环境》</w:t>
      </w:r>
      <w:r>
        <w:rPr>
          <w:rFonts w:ascii="华文中宋" w:eastAsia="华文中宋" w:hAnsi="华文中宋"/>
          <w:spacing w:val="20"/>
          <w:sz w:val="21"/>
        </w:rPr>
        <w:t>HJ2.4-2009</w:t>
      </w:r>
    </w:p>
    <w:p w:rsidR="00000000" w:rsidRDefault="00900559">
      <w:pPr>
        <w:spacing w:before="20" w:after="20"/>
        <w:jc w:val="both"/>
        <w:rPr>
          <w:rFonts w:ascii="华文中宋" w:eastAsia="华文中宋" w:hAnsi="华文中宋"/>
          <w:spacing w:val="20"/>
          <w:sz w:val="21"/>
        </w:rPr>
      </w:pPr>
      <w:r>
        <w:rPr>
          <w:rFonts w:ascii="华文中宋" w:eastAsia="华文中宋" w:hAnsi="华文中宋"/>
          <w:spacing w:val="20"/>
          <w:sz w:val="21"/>
        </w:rPr>
        <w:t>5</w:t>
      </w:r>
      <w:r>
        <w:rPr>
          <w:rFonts w:ascii="华文中宋" w:eastAsia="华文中宋" w:hAnsi="华文中宋" w:hint="eastAsia"/>
          <w:spacing w:val="20"/>
          <w:sz w:val="21"/>
        </w:rPr>
        <w:t>、《声环境功能区划分技术规范》</w:t>
      </w:r>
      <w:r>
        <w:rPr>
          <w:rFonts w:ascii="华文中宋" w:eastAsia="华文中宋" w:hAnsi="华文中宋"/>
          <w:spacing w:val="20"/>
          <w:sz w:val="21"/>
        </w:rPr>
        <w:t>GB/T15190-2014</w:t>
      </w:r>
    </w:p>
    <w:p w:rsidR="00000000" w:rsidRDefault="00900559">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一、标准详情</w:t>
      </w:r>
    </w:p>
    <w:p w:rsidR="00000000" w:rsidRDefault="00900559">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1.1 </w:t>
      </w:r>
      <w:r>
        <w:rPr>
          <w:rFonts w:ascii="微软雅黑" w:eastAsia="微软雅黑" w:hAnsi="微软雅黑" w:hint="eastAsia"/>
          <w:b/>
          <w:spacing w:val="20"/>
        </w:rPr>
        <w:t>评价要求</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hint="eastAsia"/>
          <w:sz w:val="21"/>
        </w:rPr>
        <w:t>《绿色建筑评价标准》</w:t>
      </w:r>
      <w:r>
        <w:rPr>
          <w:rFonts w:ascii="微软雅黑" w:eastAsia="微软雅黑" w:hAnsi="微软雅黑"/>
          <w:sz w:val="21"/>
        </w:rPr>
        <w:t>GB/T 50378-2019</w:t>
      </w:r>
      <w:r>
        <w:rPr>
          <w:rFonts w:ascii="微软雅黑" w:eastAsia="微软雅黑" w:hAnsi="微软雅黑" w:hint="eastAsia"/>
          <w:sz w:val="21"/>
        </w:rPr>
        <w:t>中有关室外声环境的具体要求如下：</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 xml:space="preserve">8.2.6 </w:t>
      </w:r>
      <w:r>
        <w:rPr>
          <w:rFonts w:ascii="微软雅黑" w:eastAsia="微软雅黑" w:hAnsi="微软雅黑" w:hint="eastAsia"/>
          <w:sz w:val="21"/>
        </w:rPr>
        <w:t>场地内的环境噪声优于现行国家标准《声环境质量标准》</w:t>
      </w:r>
      <w:r>
        <w:rPr>
          <w:rFonts w:ascii="微软雅黑" w:eastAsia="微软雅黑" w:hAnsi="微软雅黑"/>
          <w:sz w:val="21"/>
        </w:rPr>
        <w:t>GB3096-2008</w:t>
      </w:r>
      <w:r>
        <w:rPr>
          <w:rFonts w:ascii="微软雅黑" w:eastAsia="微软雅黑" w:hAnsi="微软雅黑" w:hint="eastAsia"/>
          <w:sz w:val="21"/>
        </w:rPr>
        <w:t>的要求，评价总分值为</w:t>
      </w:r>
      <w:r>
        <w:rPr>
          <w:rFonts w:ascii="微软雅黑" w:eastAsia="微软雅黑" w:hAnsi="微软雅黑"/>
          <w:sz w:val="21"/>
        </w:rPr>
        <w:t>10</w:t>
      </w:r>
      <w:r>
        <w:rPr>
          <w:rFonts w:ascii="微软雅黑" w:eastAsia="微软雅黑" w:hAnsi="微软雅黑" w:hint="eastAsia"/>
          <w:sz w:val="21"/>
        </w:rPr>
        <w:t>分，并按下列规则评分：</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环境噪声值大于</w:t>
      </w:r>
      <w:r>
        <w:rPr>
          <w:rFonts w:ascii="微软雅黑" w:eastAsia="微软雅黑" w:hAnsi="微软雅黑"/>
          <w:sz w:val="21"/>
        </w:rPr>
        <w:t>2</w:t>
      </w:r>
      <w:r>
        <w:rPr>
          <w:rFonts w:ascii="微软雅黑" w:eastAsia="微软雅黑" w:hAnsi="微软雅黑" w:hint="eastAsia"/>
          <w:sz w:val="21"/>
        </w:rPr>
        <w:t>类声环境功能区标准限值，且小于或等于</w:t>
      </w:r>
      <w:r>
        <w:rPr>
          <w:rFonts w:ascii="微软雅黑" w:eastAsia="微软雅黑" w:hAnsi="微软雅黑"/>
          <w:sz w:val="21"/>
        </w:rPr>
        <w:t>3</w:t>
      </w:r>
      <w:r>
        <w:rPr>
          <w:rFonts w:ascii="微软雅黑" w:eastAsia="微软雅黑" w:hAnsi="微软雅黑" w:hint="eastAsia"/>
          <w:sz w:val="21"/>
        </w:rPr>
        <w:t>类声环境功能区标准限值，得</w:t>
      </w:r>
      <w:r>
        <w:rPr>
          <w:rFonts w:ascii="微软雅黑" w:eastAsia="微软雅黑" w:hAnsi="微软雅黑"/>
          <w:sz w:val="21"/>
        </w:rPr>
        <w:t>5</w:t>
      </w:r>
      <w:r>
        <w:rPr>
          <w:rFonts w:ascii="微软雅黑" w:eastAsia="微软雅黑" w:hAnsi="微软雅黑" w:hint="eastAsia"/>
          <w:sz w:val="21"/>
        </w:rPr>
        <w:t>分。</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环境噪声值小于或等于</w:t>
      </w:r>
      <w:r>
        <w:rPr>
          <w:rFonts w:ascii="微软雅黑" w:eastAsia="微软雅黑" w:hAnsi="微软雅黑"/>
          <w:sz w:val="21"/>
        </w:rPr>
        <w:t>2</w:t>
      </w:r>
      <w:r>
        <w:rPr>
          <w:rFonts w:ascii="微软雅黑" w:eastAsia="微软雅黑" w:hAnsi="微软雅黑" w:hint="eastAsia"/>
          <w:sz w:val="21"/>
        </w:rPr>
        <w:t>类声环境功能区标准限值，得</w:t>
      </w:r>
      <w:r>
        <w:rPr>
          <w:rFonts w:ascii="微软雅黑" w:eastAsia="微软雅黑" w:hAnsi="微软雅黑"/>
          <w:sz w:val="21"/>
        </w:rPr>
        <w:t>10</w:t>
      </w:r>
      <w:r>
        <w:rPr>
          <w:rFonts w:ascii="微软雅黑" w:eastAsia="微软雅黑" w:hAnsi="微软雅黑" w:hint="eastAsia"/>
          <w:sz w:val="21"/>
        </w:rPr>
        <w:t>分。</w:t>
      </w:r>
    </w:p>
    <w:p w:rsidR="00000000" w:rsidRDefault="00900559">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二、模拟概述</w:t>
      </w:r>
    </w:p>
    <w:p w:rsidR="00000000" w:rsidRDefault="00900559">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2.1 </w:t>
      </w:r>
      <w:r>
        <w:rPr>
          <w:rFonts w:ascii="微软雅黑" w:eastAsia="微软雅黑" w:hAnsi="微软雅黑" w:hint="eastAsia"/>
          <w:b/>
          <w:spacing w:val="20"/>
        </w:rPr>
        <w:t>原理概要</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hint="eastAsia"/>
          <w:sz w:val="21"/>
        </w:rPr>
        <w:t>声环境影响预测步骤：</w:t>
      </w:r>
      <w:r>
        <w:rPr>
          <w:rFonts w:ascii="微软雅黑" w:eastAsia="微软雅黑" w:hAnsi="微软雅黑"/>
          <w:sz w:val="21"/>
        </w:rPr>
        <w:t>1</w:t>
      </w:r>
      <w:r>
        <w:rPr>
          <w:rFonts w:ascii="微软雅黑" w:eastAsia="微软雅黑" w:hAnsi="微软雅黑" w:hint="eastAsia"/>
          <w:sz w:val="21"/>
        </w:rPr>
        <w:t>、建立坐标系，确定各声源坐标和预测点坐标，并根据声源性质以及预测点与声源之间的距离等情况，建立道路、停车场等噪声数学模型；</w:t>
      </w:r>
      <w:r>
        <w:rPr>
          <w:rFonts w:ascii="微软雅黑" w:eastAsia="微软雅黑" w:hAnsi="微软雅黑"/>
          <w:sz w:val="21"/>
        </w:rPr>
        <w:t>2</w:t>
      </w:r>
      <w:r>
        <w:rPr>
          <w:rFonts w:ascii="微软雅黑" w:eastAsia="微软雅黑" w:hAnsi="微软雅黑" w:hint="eastAsia"/>
          <w:sz w:val="21"/>
        </w:rPr>
        <w:t>、根据已获得的声源源强的数据和各声源到预测点的声波传播条件资料，计算出噪声从各声源传播到预测点的声衰减量，由此计算出各声源单独作用在预测点时产生</w:t>
      </w:r>
      <w:r>
        <w:rPr>
          <w:rFonts w:ascii="微软雅黑" w:eastAsia="微软雅黑" w:hAnsi="微软雅黑"/>
          <w:sz w:val="21"/>
        </w:rPr>
        <w:t>A</w:t>
      </w:r>
      <w:r>
        <w:rPr>
          <w:rFonts w:ascii="微软雅黑" w:eastAsia="微软雅黑" w:hAnsi="微软雅黑" w:hint="eastAsia"/>
          <w:sz w:val="21"/>
        </w:rPr>
        <w:t>声级。其计算原理可参见《声屏障声</w:t>
      </w:r>
      <w:r>
        <w:rPr>
          <w:rFonts w:ascii="微软雅黑" w:eastAsia="微软雅黑" w:hAnsi="微软雅黑" w:hint="eastAsia"/>
          <w:sz w:val="21"/>
        </w:rPr>
        <w:t>学设计和测量规范》</w:t>
      </w:r>
      <w:r>
        <w:rPr>
          <w:rFonts w:ascii="微软雅黑" w:eastAsia="微软雅黑" w:hAnsi="微软雅黑"/>
          <w:sz w:val="21"/>
        </w:rPr>
        <w:t>HJT 90-2004</w:t>
      </w:r>
      <w:r>
        <w:rPr>
          <w:rFonts w:ascii="微软雅黑" w:eastAsia="微软雅黑" w:hAnsi="微软雅黑" w:hint="eastAsia"/>
          <w:sz w:val="21"/>
        </w:rPr>
        <w:t>、《公路建设项目环境影响评价规范》</w:t>
      </w:r>
      <w:r>
        <w:rPr>
          <w:rFonts w:ascii="微软雅黑" w:eastAsia="微软雅黑" w:hAnsi="微软雅黑"/>
          <w:sz w:val="21"/>
        </w:rPr>
        <w:t>JTG B03-2006</w:t>
      </w:r>
      <w:r>
        <w:rPr>
          <w:rFonts w:ascii="微软雅黑" w:eastAsia="微软雅黑" w:hAnsi="微软雅黑" w:hint="eastAsia"/>
          <w:sz w:val="21"/>
        </w:rPr>
        <w:t>等。</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hint="eastAsia"/>
          <w:sz w:val="21"/>
        </w:rPr>
        <w:lastRenderedPageBreak/>
        <w:t>根据清华大学主编、中国建筑科学研究院等单位参编的《民用建筑绿色性能计算标准》中的规定，室外声环境模拟的声接收面网格设定需满足：</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1</w:t>
      </w:r>
      <w:r>
        <w:rPr>
          <w:rFonts w:ascii="微软雅黑" w:eastAsia="微软雅黑" w:hAnsi="微软雅黑" w:hint="eastAsia"/>
          <w:sz w:val="21"/>
        </w:rPr>
        <w:t>）室外声场的水平声接收地面距离地面高度应为</w:t>
      </w:r>
      <w:r>
        <w:rPr>
          <w:rFonts w:ascii="微软雅黑" w:eastAsia="微软雅黑" w:hAnsi="微软雅黑"/>
          <w:sz w:val="21"/>
        </w:rPr>
        <w:t>1.2m~1.5m</w:t>
      </w:r>
      <w:r>
        <w:rPr>
          <w:rFonts w:ascii="微软雅黑" w:eastAsia="微软雅黑" w:hAnsi="微软雅黑" w:hint="eastAsia"/>
          <w:sz w:val="21"/>
        </w:rPr>
        <w:t>；</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）建筑立面的声接收面距离墙壁和窗户应为</w:t>
      </w:r>
      <w:r>
        <w:rPr>
          <w:rFonts w:ascii="微软雅黑" w:eastAsia="微软雅黑" w:hAnsi="微软雅黑"/>
          <w:sz w:val="21"/>
        </w:rPr>
        <w:t>1m</w:t>
      </w:r>
      <w:r>
        <w:rPr>
          <w:rFonts w:ascii="微软雅黑" w:eastAsia="微软雅黑" w:hAnsi="微软雅黑" w:hint="eastAsia"/>
          <w:sz w:val="21"/>
        </w:rPr>
        <w:t>。</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3</w:t>
      </w:r>
      <w:r>
        <w:rPr>
          <w:rFonts w:ascii="微软雅黑" w:eastAsia="微软雅黑" w:hAnsi="微软雅黑" w:hint="eastAsia"/>
          <w:sz w:val="21"/>
        </w:rPr>
        <w:t>）应将声接收面网格划分成多个等大的正方格，网格应完全覆盖计算的整体区域。</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4</w:t>
      </w:r>
      <w:r>
        <w:rPr>
          <w:rFonts w:ascii="微软雅黑" w:eastAsia="微软雅黑" w:hAnsi="微软雅黑" w:hint="eastAsia"/>
          <w:sz w:val="21"/>
        </w:rPr>
        <w:t>）声接收面网格宜采用</w:t>
      </w:r>
      <w:r>
        <w:rPr>
          <w:rFonts w:ascii="微软雅黑" w:eastAsia="微软雅黑" w:hAnsi="微软雅黑"/>
          <w:sz w:val="21"/>
        </w:rPr>
        <w:t>3m~10m</w:t>
      </w:r>
      <w:r>
        <w:rPr>
          <w:rFonts w:ascii="微软雅黑" w:eastAsia="微软雅黑" w:hAnsi="微软雅黑" w:hint="eastAsia"/>
          <w:sz w:val="21"/>
        </w:rPr>
        <w:t>的正方形网格，也可结合建筑尺度和高度设定。</w:t>
      </w:r>
    </w:p>
    <w:p w:rsidR="00000000" w:rsidRDefault="00900559">
      <w:pPr>
        <w:spacing w:line="400" w:lineRule="atLeast"/>
        <w:ind w:firstLine="420"/>
        <w:jc w:val="both"/>
        <w:rPr>
          <w:rFonts w:ascii="微软雅黑" w:eastAsia="微软雅黑" w:hAnsi="微软雅黑"/>
          <w:sz w:val="21"/>
        </w:rPr>
      </w:pPr>
      <w:r>
        <w:rPr>
          <w:rFonts w:ascii="微软雅黑" w:eastAsia="微软雅黑" w:hAnsi="微软雅黑"/>
          <w:sz w:val="21"/>
        </w:rPr>
        <w:t>5</w:t>
      </w:r>
      <w:r>
        <w:rPr>
          <w:rFonts w:ascii="微软雅黑" w:eastAsia="微软雅黑" w:hAnsi="微软雅黑" w:hint="eastAsia"/>
          <w:sz w:val="21"/>
        </w:rPr>
        <w:t>）对有起伏</w:t>
      </w:r>
      <w:r>
        <w:rPr>
          <w:rFonts w:ascii="微软雅黑" w:eastAsia="微软雅黑" w:hAnsi="微软雅黑" w:hint="eastAsia"/>
          <w:sz w:val="21"/>
        </w:rPr>
        <w:t>的地形宜采取优化接收面网格，网格面可随着地形过渡变化。</w:t>
      </w:r>
    </w:p>
    <w:p w:rsidR="00000000" w:rsidRDefault="00900559">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三、模拟分析</w:t>
      </w:r>
    </w:p>
    <w:p w:rsidR="00000000" w:rsidRDefault="00900559">
      <w:pPr>
        <w:pStyle w:val="a7"/>
        <w:jc w:val="center"/>
        <w:rPr>
          <w:rFonts w:ascii="微软雅黑" w:eastAsia="微软雅黑" w:hAnsi="微软雅黑"/>
          <w:b/>
          <w:spacing w:val="20"/>
          <w:sz w:val="24"/>
          <w:szCs w:val="24"/>
        </w:rPr>
      </w:pPr>
      <w:r>
        <w:rPr>
          <w:rFonts w:ascii="微软雅黑" w:eastAsia="微软雅黑" w:hAnsi="微软雅黑"/>
          <w:b/>
          <w:spacing w:val="20"/>
        </w:rPr>
        <w:pict>
          <v:shape id="图片 4" o:spid="_x0000_i1027" type="#_x0000_t75" style="width:414pt;height:369.6pt;mso-wrap-style:square;mso-position-horizontal-relative:page;mso-position-vertical-relative:page">
            <v:imagedata r:id="rId8" o:title=""/>
          </v:shape>
        </w:pict>
      </w:r>
      <w:r>
        <w:rPr>
          <w:rFonts w:hint="eastAsia"/>
        </w:rPr>
        <w:t>图</w:t>
      </w:r>
      <w:r>
        <w:rPr>
          <w:rFonts w:eastAsia="等线 Light"/>
        </w:rPr>
        <w:t xml:space="preserve"> </w:t>
      </w:r>
      <w:r>
        <w:rPr>
          <w:rFonts w:eastAsia="等线 Light"/>
        </w:rPr>
        <w:fldChar w:fldCharType="begin"/>
      </w:r>
      <w:r>
        <w:rPr>
          <w:rFonts w:eastAsia="等线 Light"/>
        </w:rPr>
        <w:instrText xml:space="preserve"> SEQ </w:instrText>
      </w:r>
      <w:r>
        <w:rPr>
          <w:rFonts w:hint="eastAsia"/>
        </w:rPr>
        <w:instrText>图</w:instrText>
      </w:r>
      <w:r>
        <w:rPr>
          <w:rFonts w:eastAsia="等线 Light"/>
        </w:rPr>
        <w:instrText xml:space="preserve"> \* ARABIC </w:instrText>
      </w:r>
      <w:r>
        <w:rPr>
          <w:rFonts w:eastAsia="等线 Light"/>
        </w:rPr>
        <w:fldChar w:fldCharType="separate"/>
      </w:r>
      <w:r>
        <w:rPr>
          <w:rFonts w:eastAsia="等线 Light"/>
          <w:lang w:val="en-US" w:eastAsia="zh-CN"/>
        </w:rPr>
        <w:t>1</w:t>
      </w:r>
      <w:r>
        <w:rPr>
          <w:rFonts w:eastAsia="等线 Light"/>
        </w:rPr>
        <w:fldChar w:fldCharType="end"/>
      </w:r>
      <w:r>
        <w:rPr>
          <w:rFonts w:eastAsia="等线 Light"/>
        </w:rPr>
        <w:t xml:space="preserve"> </w:t>
      </w:r>
      <w:r>
        <w:rPr>
          <w:rFonts w:hint="eastAsia"/>
        </w:rPr>
        <w:t>夜间噪声分析彩图</w:t>
      </w:r>
      <w:r>
        <w:rPr>
          <w:rFonts w:ascii="微软雅黑" w:eastAsia="微软雅黑" w:hAnsi="微软雅黑"/>
          <w:b/>
          <w:spacing w:val="20"/>
          <w:sz w:val="24"/>
          <w:szCs w:val="24"/>
        </w:rPr>
        <w:lastRenderedPageBreak/>
        <w:pict>
          <v:shape id="图片 5" o:spid="_x0000_i1028" type="#_x0000_t75" style="width:409.2pt;height:369.6pt;mso-wrap-style:square;mso-position-horizontal-relative:page;mso-position-vertical-relative:page">
            <v:imagedata r:id="rId9" o:title=""/>
          </v:shape>
        </w:pict>
      </w:r>
    </w:p>
    <w:p w:rsidR="00000000" w:rsidRDefault="00900559">
      <w:pPr>
        <w:pStyle w:val="a7"/>
        <w:jc w:val="center"/>
        <w:rPr>
          <w:rFonts w:ascii="微软雅黑" w:eastAsia="微软雅黑" w:hAnsi="微软雅黑"/>
          <w:b/>
          <w:spacing w:val="20"/>
        </w:rPr>
      </w:pPr>
      <w:r>
        <w:rPr>
          <w:rFonts w:hint="eastAsia"/>
        </w:rPr>
        <w:t>图</w:t>
      </w:r>
      <w:r>
        <w:rPr>
          <w:rFonts w:eastAsia="等线 Light"/>
        </w:rPr>
        <w:t xml:space="preserve"> </w:t>
      </w:r>
      <w:r>
        <w:rPr>
          <w:rFonts w:eastAsia="等线 Light"/>
        </w:rPr>
        <w:fldChar w:fldCharType="begin"/>
      </w:r>
      <w:r>
        <w:rPr>
          <w:rFonts w:eastAsia="等线 Light"/>
        </w:rPr>
        <w:instrText xml:space="preserve"> SEQ </w:instrText>
      </w:r>
      <w:r>
        <w:rPr>
          <w:rFonts w:hint="eastAsia"/>
        </w:rPr>
        <w:instrText>图</w:instrText>
      </w:r>
      <w:r>
        <w:rPr>
          <w:rFonts w:eastAsia="等线 Light"/>
        </w:rPr>
        <w:instrText xml:space="preserve"> \* ARABIC </w:instrText>
      </w:r>
      <w:r>
        <w:rPr>
          <w:rFonts w:eastAsia="等线 Light"/>
        </w:rPr>
        <w:fldChar w:fldCharType="separate"/>
      </w:r>
      <w:r>
        <w:rPr>
          <w:rFonts w:eastAsia="等线 Light"/>
          <w:lang w:val="en-US" w:eastAsia="zh-CN"/>
        </w:rPr>
        <w:t>2</w:t>
      </w:r>
      <w:r>
        <w:rPr>
          <w:rFonts w:eastAsia="等线 Light"/>
        </w:rPr>
        <w:fldChar w:fldCharType="end"/>
      </w:r>
      <w:r>
        <w:rPr>
          <w:rFonts w:eastAsia="等线 Light"/>
        </w:rPr>
        <w:t xml:space="preserve"> </w:t>
      </w:r>
      <w:r>
        <w:rPr>
          <w:rFonts w:hint="eastAsia"/>
        </w:rPr>
        <w:t>昼间噪声分析彩图</w:t>
      </w:r>
    </w:p>
    <w:p w:rsidR="00000000" w:rsidRDefault="00900559">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四、结论</w:t>
      </w:r>
    </w:p>
    <w:p w:rsidR="00900559" w:rsidRDefault="00900559">
      <w:pPr>
        <w:spacing w:line="400" w:lineRule="atLeast"/>
        <w:ind w:firstLine="420"/>
        <w:jc w:val="both"/>
        <w:rPr>
          <w:rFonts w:ascii="微软雅黑" w:eastAsia="微软雅黑" w:hAnsi="微软雅黑"/>
          <w:sz w:val="21"/>
        </w:rPr>
      </w:pPr>
      <w:r>
        <w:rPr>
          <w:rFonts w:ascii="微软雅黑" w:eastAsia="微软雅黑" w:hAnsi="微软雅黑" w:hint="eastAsia"/>
          <w:sz w:val="21"/>
        </w:rPr>
        <w:t>根据以上分析</w:t>
      </w:r>
      <w:r>
        <w:rPr>
          <w:rFonts w:ascii="微软雅黑" w:eastAsia="微软雅黑" w:hAnsi="微软雅黑" w:hint="eastAsia"/>
          <w:sz w:val="21"/>
        </w:rPr>
        <w:t>可得，该项目室外声环境达标。</w:t>
      </w:r>
    </w:p>
    <w:sectPr w:rsidR="00900559">
      <w:headerReference w:type="default" r:id="rId10"/>
      <w:footerReference w:type="default" r:id="rId11"/>
      <w:pgSz w:w="11905" w:h="16837"/>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559" w:rsidRDefault="00900559">
      <w:r>
        <w:separator/>
      </w:r>
    </w:p>
  </w:endnote>
  <w:endnote w:type="continuationSeparator" w:id="0">
    <w:p w:rsidR="00900559" w:rsidRDefault="0090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altName w:val="等线 Light"/>
    <w:panose1 w:val="02010600030101010101"/>
    <w:charset w:val="86"/>
    <w:family w:val="auto"/>
    <w:pitch w:val="variable"/>
    <w:sig w:usb0="A00002BF" w:usb1="38CF7CFA" w:usb2="00000016" w:usb3="00000000" w:csb0="0004000F" w:csb1="00000000"/>
  </w:font>
  <w:font w:name="黑体">
    <w:altName w:val="黑体"/>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华文中宋">
    <w:altName w:val="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0055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559" w:rsidRDefault="00900559">
      <w:r>
        <w:separator/>
      </w:r>
    </w:p>
  </w:footnote>
  <w:footnote w:type="continuationSeparator" w:id="0">
    <w:p w:rsidR="00900559" w:rsidRDefault="009005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0055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NGY4MDUwMDA3ZmVkZDZkMmMzZGUwNzQ2ZDQzMTkifQ=="/>
  </w:docVars>
  <w:rsids>
    <w:rsidRoot w:val="008C5D45"/>
    <w:rsid w:val="00000000"/>
    <w:rsid w:val="008C5D45"/>
    <w:rsid w:val="0090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87D580-9968-4AF5-960C-7FA9D45F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annotation subject" w:semiHidden="1" w:unhideWhenUsed="1" w:qFormat="1"/>
    <w:lsdException w:name="No List" w:semiHidden="1" w:unhideWhenUsed="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semiHidden="1" w:unhideWhenUsed="1" w:qFormat="1"/>
    <w:lsdException w:name="Table Theme" w:semiHidden="1" w:unhideWhenUsed="1"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adjustRightInd w:val="0"/>
    </w:pPr>
    <w:rPr>
      <w:sz w:val="24"/>
      <w:szCs w:val="24"/>
    </w:rPr>
  </w:style>
  <w:style w:type="paragraph" w:styleId="1">
    <w:name w:val="heading 1"/>
    <w:basedOn w:val="a"/>
    <w:link w:val="10"/>
    <w:uiPriority w:val="99"/>
    <w:qFormat/>
    <w:pPr>
      <w:outlineLvl w:val="0"/>
    </w:pPr>
  </w:style>
  <w:style w:type="paragraph" w:styleId="2">
    <w:name w:val="heading 2"/>
    <w:basedOn w:val="a"/>
    <w:link w:val="20"/>
    <w:uiPriority w:val="99"/>
    <w:qFormat/>
    <w:pPr>
      <w:outlineLvl w:val="1"/>
    </w:pPr>
  </w:style>
  <w:style w:type="paragraph" w:styleId="3">
    <w:name w:val="heading 3"/>
    <w:basedOn w:val="a"/>
    <w:link w:val="30"/>
    <w:uiPriority w:val="99"/>
    <w:qFormat/>
    <w:pPr>
      <w:outlineLvl w:val="2"/>
    </w:p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unhideWhenUsed/>
    <w:locked/>
    <w:rPr>
      <w:b/>
      <w:kern w:val="44"/>
      <w:sz w:val="44"/>
      <w:szCs w:val="44"/>
    </w:rPr>
  </w:style>
  <w:style w:type="character" w:customStyle="1" w:styleId="20">
    <w:name w:val="标题 2 字符"/>
    <w:link w:val="2"/>
    <w:uiPriority w:val="9"/>
    <w:unhideWhenUsed/>
    <w:locked/>
    <w:rPr>
      <w:rFonts w:ascii="等线 Light" w:eastAsia="等线 Light" w:hAnsi="等线 Light"/>
      <w:b/>
      <w:sz w:val="32"/>
      <w:szCs w:val="32"/>
    </w:rPr>
  </w:style>
  <w:style w:type="character" w:customStyle="1" w:styleId="30">
    <w:name w:val="标题 3 字符"/>
    <w:link w:val="3"/>
    <w:uiPriority w:val="9"/>
    <w:unhideWhenUsed/>
    <w:locked/>
    <w:rPr>
      <w:b/>
      <w:sz w:val="32"/>
      <w:szCs w:val="32"/>
    </w:rPr>
  </w:style>
  <w:style w:type="character" w:customStyle="1" w:styleId="a3">
    <w:name w:val="页脚 字符"/>
    <w:link w:val="a4"/>
    <w:uiPriority w:val="99"/>
    <w:unhideWhenUsed/>
    <w:locked/>
    <w:rPr>
      <w:sz w:val="18"/>
      <w:szCs w:val="18"/>
    </w:rPr>
  </w:style>
  <w:style w:type="character" w:customStyle="1" w:styleId="a5">
    <w:name w:val="页眉 字符"/>
    <w:link w:val="a6"/>
    <w:uiPriority w:val="99"/>
    <w:unhideWhenUsed/>
    <w:locked/>
    <w:rPr>
      <w:sz w:val="18"/>
      <w:szCs w:val="18"/>
    </w:rPr>
  </w:style>
  <w:style w:type="paragraph" w:styleId="a7">
    <w:name w:val="caption"/>
    <w:basedOn w:val="a"/>
    <w:next w:val="a"/>
    <w:uiPriority w:val="99"/>
    <w:qFormat/>
    <w:rPr>
      <w:rFonts w:ascii="等线 Light" w:eastAsia="黑体" w:hAnsi="等线 Light"/>
      <w:sz w:val="20"/>
      <w:szCs w:val="20"/>
    </w:rPr>
  </w:style>
  <w:style w:type="paragraph" w:styleId="a4">
    <w:name w:val="footer"/>
    <w:basedOn w:val="a"/>
    <w:link w:val="a3"/>
    <w:uiPriority w:val="99"/>
    <w:unhideWhenUsed/>
    <w:pPr>
      <w:tabs>
        <w:tab w:val="center" w:pos="4153"/>
        <w:tab w:val="right" w:pos="8306"/>
      </w:tabs>
      <w:snapToGrid w:val="0"/>
    </w:pPr>
    <w:rPr>
      <w:sz w:val="18"/>
      <w:szCs w:val="18"/>
    </w:rPr>
  </w:style>
  <w:style w:type="character" w:customStyle="1" w:styleId="11">
    <w:name w:val="页脚 字符1"/>
    <w:uiPriority w:val="99"/>
    <w:semiHidden/>
    <w:rPr>
      <w:rFonts w:cs="Times New Roman"/>
      <w:kern w:val="0"/>
      <w:sz w:val="18"/>
      <w:szCs w:val="18"/>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2">
    <w:name w:val="页眉 字符1"/>
    <w:uiPriority w:val="99"/>
    <w:semiHidden/>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dc:creator>
  <cp:keywords/>
  <dc:description/>
  <cp:lastModifiedBy>Breeze</cp:lastModifiedBy>
  <cp:revision>2</cp:revision>
  <dcterms:created xsi:type="dcterms:W3CDTF">2023-03-04T12:30:00Z</dcterms:created>
  <dcterms:modified xsi:type="dcterms:W3CDTF">2023-03-04T12:30:00Z</dcterms:modified>
</cp:coreProperties>
</file>