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80" w:after="360"/>
        <w:jc w:val="center"/>
        <w:rPr>
          <w:rFonts w:ascii="宋体" w:hAnsi="Times New Roman" w:eastAsia="宋体" w:cs="宋体"/>
          <w:color w:val="000000"/>
          <w:kern w:val="0"/>
          <w:position w:val="20"/>
          <w:sz w:val="44"/>
          <w:szCs w:val="44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20"/>
          <w:sz w:val="44"/>
          <w:szCs w:val="44"/>
        </w:rPr>
        <w:t>公共建筑节能计算分析报告书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after="100"/>
        <w:jc w:val="left"/>
        <w:rPr>
          <w:rFonts w:ascii="宋体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</w:pP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</w:rPr>
        <w:t xml:space="preserve">        </w:t>
      </w:r>
      <w:r>
        <w:rPr>
          <w:rFonts w:hint="eastAsia" w:ascii="Times New Roman" w:hAnsi="Times New Roman" w:eastAsia="宋体" w:cs="宋体"/>
          <w:color w:val="000000"/>
          <w:kern w:val="0"/>
          <w:position w:val="20"/>
          <w:sz w:val="28"/>
          <w:szCs w:val="28"/>
        </w:rPr>
        <w:t>项目名称：</w:t>
      </w: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>绿阶</w:t>
      </w: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>-</w:t>
      </w:r>
      <w:r>
        <w:rPr>
          <w:rFonts w:hint="eastAsia"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>高校研究生活动中心</w:t>
      </w: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 xml:space="preserve">       </w:t>
      </w:r>
    </w:p>
    <w:p>
      <w:pPr>
        <w:autoSpaceDE w:val="0"/>
        <w:autoSpaceDN w:val="0"/>
        <w:adjustRightInd w:val="0"/>
        <w:spacing w:after="100"/>
        <w:jc w:val="left"/>
        <w:rPr>
          <w:rFonts w:ascii="宋体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</w:pP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</w:rPr>
        <w:t xml:space="preserve">        </w:t>
      </w:r>
      <w:r>
        <w:rPr>
          <w:rFonts w:hint="eastAsia" w:ascii="Times New Roman" w:hAnsi="Times New Roman" w:eastAsia="宋体" w:cs="宋体"/>
          <w:color w:val="000000"/>
          <w:kern w:val="0"/>
          <w:position w:val="20"/>
          <w:sz w:val="28"/>
          <w:szCs w:val="28"/>
        </w:rPr>
        <w:t>项目地点：</w:t>
      </w: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>江西南昌</w:t>
      </w: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after="100"/>
        <w:jc w:val="left"/>
        <w:rPr>
          <w:rFonts w:ascii="宋体" w:hAnsi="Times New Roman" w:eastAsia="宋体" w:cs="宋体"/>
          <w:color w:val="000000"/>
          <w:kern w:val="0"/>
          <w:position w:val="20"/>
          <w:sz w:val="28"/>
          <w:szCs w:val="28"/>
          <w:u w:val="single"/>
        </w:rPr>
      </w:pPr>
      <w:r>
        <w:rPr>
          <w:rFonts w:ascii="Times New Roman" w:hAnsi="Times New Roman" w:eastAsia="宋体" w:cs="宋体"/>
          <w:color w:val="000000"/>
          <w:kern w:val="0"/>
          <w:position w:val="20"/>
          <w:sz w:val="28"/>
          <w:szCs w:val="28"/>
        </w:rPr>
        <w:t xml:space="preserve">     </w:t>
      </w:r>
      <w:bookmarkStart w:id="0" w:name="_GoBack"/>
      <w:bookmarkEnd w:id="0"/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2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Times New Roman" w:hAnsi="Times New Roman" w:eastAsia="宋体" w:cs="宋体"/>
          <w:color w:val="000000"/>
          <w:kern w:val="0"/>
          <w:position w:val="10"/>
          <w:sz w:val="44"/>
          <w:szCs w:val="44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 w:val="44"/>
          <w:szCs w:val="44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 w:val="44"/>
          <w:szCs w:val="44"/>
        </w:rPr>
        <w:t>新项目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 w:val="44"/>
          <w:szCs w:val="44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 w:val="44"/>
          <w:szCs w:val="44"/>
        </w:rPr>
        <w:t>公共建筑节能计算分析报告书</w:t>
      </w:r>
    </w:p>
    <w:p>
      <w:pPr>
        <w:autoSpaceDE w:val="0"/>
        <w:autoSpaceDN w:val="0"/>
        <w:adjustRightInd w:val="0"/>
        <w:spacing w:before="200" w:after="2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32"/>
          <w:szCs w:val="32"/>
        </w:rPr>
        <w:t>一、标准依据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1.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《建筑节能与可再生能源利用通用规范》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GB 55015-2021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2.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《民用建筑热工设计规范》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GB50176-2016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3.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《建筑外门窗气密、水密、抗风压性能检测方法》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GB/T 7106-2019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4.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《建筑幕墙、门窗通用技术条件》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GB/T 31433-2015 </w:t>
      </w:r>
    </w:p>
    <w:p>
      <w:pPr>
        <w:autoSpaceDE w:val="0"/>
        <w:autoSpaceDN w:val="0"/>
        <w:adjustRightInd w:val="0"/>
        <w:spacing w:before="200" w:after="2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32"/>
          <w:szCs w:val="32"/>
        </w:rPr>
        <w:t>二、建筑概况</w:t>
      </w:r>
    </w:p>
    <w:p>
      <w:pPr>
        <w:autoSpaceDE w:val="0"/>
        <w:autoSpaceDN w:val="0"/>
        <w:adjustRightInd w:val="0"/>
        <w:spacing w:before="150" w:after="15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8"/>
          <w:szCs w:val="28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 xml:space="preserve">1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>项目基本信息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项目基本信息表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2300"/>
        <w:gridCol w:w="2300"/>
        <w:gridCol w:w="23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新项目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工程地点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江西南昌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北纬：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28.60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东经：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115.90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海拔：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49.00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气候分区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夏热冬冷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区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建筑类型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学院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建筑分类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甲类建筑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结构形式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框架结构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建筑朝向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指北针角度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建筑面积（计算）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总面积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3523.78 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地上：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3523.78 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地下：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0.00 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建筑体积（计算）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总体积：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12713.51 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4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地上：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12713.51 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地下：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0.00 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外表面积和体形系数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总外表面积：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4354.78 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体形系数：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0.34)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建筑层数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地上：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3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4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地下：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0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层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建筑高度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10.80 m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50" w:after="15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8"/>
          <w:szCs w:val="28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 xml:space="preserve">2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>标准层及窗墙比信息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2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建筑标准层信息表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800"/>
        <w:gridCol w:w="2800"/>
        <w:gridCol w:w="2300"/>
        <w:gridCol w:w="23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标准层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实际楼层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层高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(m)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建筑面积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地上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3.60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1829.22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地上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3.60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1172.45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地上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3.60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522.11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3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各朝向窗墙面积比信息表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800"/>
        <w:gridCol w:w="2800"/>
        <w:gridCol w:w="2300"/>
        <w:gridCol w:w="23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朝向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外窗面积（包括透明幕墙）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朝向面积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朝向窗墙比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150.72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604.83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0.25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28.71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650.79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0.04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78.61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604.83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0.13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64.50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650.84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322.54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2511.29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0.13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200" w:after="2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32"/>
          <w:szCs w:val="32"/>
        </w:rPr>
        <w:t>三、建筑材料选用依据</w:t>
      </w:r>
    </w:p>
    <w:p>
      <w:pPr>
        <w:autoSpaceDE w:val="0"/>
        <w:autoSpaceDN w:val="0"/>
        <w:adjustRightInd w:val="0"/>
        <w:spacing w:before="150" w:after="15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8"/>
          <w:szCs w:val="28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 xml:space="preserve">1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>非透明材料热工参数依据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4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非透明材料热工参数依据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400"/>
        <w:gridCol w:w="1200"/>
        <w:gridCol w:w="1200"/>
        <w:gridCol w:w="1300"/>
        <w:gridCol w:w="1200"/>
        <w:gridCol w:w="1200"/>
        <w:gridCol w:w="17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材料名称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干密度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(Kg/m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24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修正系数α</w:t>
            </w:r>
          </w:p>
        </w:tc>
        <w:tc>
          <w:tcPr>
            <w:tcW w:w="17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选用依据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使用部位</w:t>
            </w:r>
          </w:p>
        </w:tc>
        <w:tc>
          <w:tcPr>
            <w:tcW w:w="17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真空绝热板Ⅰ型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10.67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墙体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:1.20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《建筑用真空绝热板应用技术规程》（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JGJ/T 416-2017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挤塑聚苯板（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XPS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楼板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:1.20/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屋顶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:1.20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底部接触空气的架空楼板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《江西省居住建筑节能设计标准》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DBJ/T36-024—2014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50" w:after="15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8"/>
          <w:szCs w:val="28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 xml:space="preserve">2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>透明材料热工参数依据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5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透明材料热工参数依据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1300"/>
        <w:gridCol w:w="1200"/>
        <w:gridCol w:w="1200"/>
        <w:gridCol w:w="1200"/>
        <w:gridCol w:w="20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门窗类型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玻璃太阳得热系数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应用部位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气密性等级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选用依据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塑料窗框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1.9[W/(m2K)]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，窗框窗洞面积比≤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30%Low-E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中空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SuperSE-I5mm+12A+5mm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《江西省居住建筑节能设计标准》（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DB36/J 007-2012/T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）、《全国民用建筑工程设计技术措施节能专篇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建筑》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200" w:after="2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32"/>
          <w:szCs w:val="32"/>
        </w:rPr>
        <w:t>四、围护结构构造做法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屋面类型（由上到下）：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层：水泥砂浆（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层：挤塑聚苯板（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XPS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80.0mm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层：防水卷材、聚氨酯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4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层：水泥砂浆（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5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层：碎石，卵石混凝土（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30.0mm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6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层：钢筋混凝土（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100.0mm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外墙类型（由外至内）：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层：玻璃纤维网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层：水泥砂浆（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5.0mm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层：真空绝热板Ⅰ型（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25.0mm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4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层：胶粘剂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5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层：水泥砂浆（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6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层：硬质聚氨酯泡沫塑料（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PU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40.0mm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底部接触空气的架空楼板类型：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层：水泥砂浆（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层：碎石，卵石混凝土（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40.0mm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层：挤塑聚苯板（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XPS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60.0mm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第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4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层：钢筋混凝土（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100.0mm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外窗类型：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构造：塑料窗框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K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≤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1.9[W/(m2K)]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，窗框窗洞面积比≤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30%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Low-E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中空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SuperSE-I5mm+12A+5mm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热工性能：传热系数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1.90W/(m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  <w:vertAlign w:val="superscript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·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K)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，夏季玻璃太阳得热系数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0.52/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冬季玻璃太阳得热系数：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0.52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，夏季玻璃遮阳系数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0.60/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冬季玻璃遮阳系数：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0.60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，气密性为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6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级，可见光透射比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0.72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</w:p>
    <w:p>
      <w:pPr>
        <w:autoSpaceDE w:val="0"/>
        <w:autoSpaceDN w:val="0"/>
        <w:adjustRightInd w:val="0"/>
        <w:spacing w:before="200" w:after="2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32"/>
          <w:szCs w:val="32"/>
        </w:rPr>
        <w:t>五、规定性指标判定</w:t>
      </w:r>
    </w:p>
    <w:p>
      <w:pPr>
        <w:autoSpaceDE w:val="0"/>
        <w:autoSpaceDN w:val="0"/>
        <w:adjustRightInd w:val="0"/>
        <w:spacing w:before="150" w:after="15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8"/>
          <w:szCs w:val="28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 xml:space="preserve">1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>围护结构热工性能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4"/>
          <w:szCs w:val="24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 xml:space="preserve">1.1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>屋面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屋面构造类型（屋顶构造一）：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(10.0mm)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挤塑聚苯板（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XPS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(80.0mm)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防水卷材、聚氨酯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(20.0mm)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碎石，卵石混凝土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(30.0mm)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钢筋混凝土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(100.0mm)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6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屋面热工性能判定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厚度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热阻值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挤塑聚苯板（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XPS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80.0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0.320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2.222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1.20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防水卷材、聚氨酯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碎石，卵石混凝土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1.510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15.360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2.33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屋面热阻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Ro=Ri+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R+Re=2.48(m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Ri=0.11[(m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K)/W];Re=0.04[(m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K=1/Ro=0.40[W/(m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太阳辐射吸收系数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ρ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= 0.75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7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屋面平均传热系数计算表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3080"/>
        <w:gridCol w:w="1540"/>
        <w:gridCol w:w="1540"/>
        <w:gridCol w:w="1540"/>
        <w:gridCol w:w="154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屋面构造类型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热惰性指标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太阳辐射吸收系数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应用面积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钢筋混凝土（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100.00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+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挤塑聚苯板（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XPS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80.00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1843.47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屋顶全楼加权平均传热系数</w:t>
            </w:r>
          </w:p>
        </w:tc>
        <w:tc>
          <w:tcPr>
            <w:tcW w:w="61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0.40[W/(m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 = 2.51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标准条目</w:t>
            </w:r>
          </w:p>
        </w:tc>
        <w:tc>
          <w:tcPr>
            <w:tcW w:w="61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条夏热冬冷地区甲类公共建筑屋顶传热系数的要求。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61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FF"/>
                <w:kern w:val="0"/>
                <w:szCs w:val="21"/>
              </w:rPr>
              <w:t>0.40</w:t>
            </w: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（限值：</w:t>
            </w:r>
            <w:r>
              <w:rPr>
                <w:rFonts w:ascii="Times New Roman" w:hAnsi="Times New Roman" w:eastAsia="宋体" w:cs="宋体"/>
                <w:color w:val="0000FF"/>
                <w:kern w:val="0"/>
                <w:szCs w:val="21"/>
              </w:rPr>
              <w:t>0.40</w:t>
            </w: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），满足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4"/>
          <w:szCs w:val="24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 xml:space="preserve">1.2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>外墙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外墙构造类型（外墙构造一）：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玻璃纤维网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(5.0mm)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真空绝热板Ⅰ型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(25.0mm)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胶粘剂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(20.0mm)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硬质聚氨酯泡沫塑料（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PU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(40.0mm)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8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外墙热工性能判定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厚度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热阻值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玻璃纤维网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真空绝热板Ⅰ型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10.670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2.083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26.68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1.20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胶粘剂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硬质聚氨酯泡沫塑料（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PU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0.025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1.455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1.10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90.0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3.56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27.41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外墙热阻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Ro=Ri+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R+Re=3.71[(m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Ri=0.11[(m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K)/W];Re=0.04[(m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K=1/Ro=0.27[W/(m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太阳辐射吸收系数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ρ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= 0.50</w:t>
            </w:r>
          </w:p>
        </w:tc>
      </w:tr>
    </w:tbl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热桥柱构造类型（框架柱</w:t>
      </w: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>1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）：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(10.0mm)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钢筋混凝土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(400.0mm)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(10.0mm)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9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热桥柱热工性能判定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热桥柱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厚度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热阻值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400.0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0.230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热桥柱各层之和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420.0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4.20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热桥柱热阻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Ro=Ri+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R+Re=0.40[(m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Ri=0.11[(m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K)/W];Re=0.04[(m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热桥柱传热系数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K=1/Ro=2.49[W/(m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</w:tbl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热桥梁构造类型（热桥梁</w:t>
      </w: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>1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）：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(30.0mm)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钢筋混凝土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(370.0mm)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(10.0mm)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10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热桥梁热工性能判定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热桥梁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厚度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热阻值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0.032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370.0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0.213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3.66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热桥梁各层之和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热桥梁热阻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Ro=Ri+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R+Re=0.41[(m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Ri=0.11[(m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K)/W];Re=0.04[(m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热桥梁传热系数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K=1/Ro=2.47[W/(m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</w:tbl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热桥过梁构造类型（热桥过梁</w:t>
      </w: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>1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）：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(100.0mm)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钢筋混凝土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(370.0mm)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(10.0mm)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11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热桥过梁热工性能判定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热桥过梁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厚度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热阻值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0.108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370.0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0.213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3.66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热桥过梁各层之和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480.0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热桥过梁热阻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Ro=Ri+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R+Re=0.48[(m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Ri=0.11[(m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K)/W];Re=0.04[(m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热桥过梁传热系数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K=1/Ro=2.08[W/(m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</w:tbl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热桥楼板构造类型（热桥楼板</w:t>
      </w: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>1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）：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(100.0mm)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钢筋混凝土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(480.0mm)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12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热桥楼板热工性能判定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热桥楼板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厚度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热阻值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0.108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480.0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4.74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热桥楼板各层之和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580.0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5.97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热桥楼板热阻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Ro=Ri+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R+Re=0.53[(m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Ri=0.11[(m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K)/W];Re=0.04[(m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热桥楼板传热系数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K=1/Ro=1.87[W/(m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13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外墙平均传热系数判定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构件名称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面积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面积所占比率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太阳辐射吸收系数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外墙（外墙构造一）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1599.73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27.41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热桥柱（框架柱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205.51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2.49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4.20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热桥梁（热桥梁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242.24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2.47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热桥过梁（热桥过梁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17.29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2.08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热桥楼板（热桥楼板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74.22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1.87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5.97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外墙平均传热系数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Km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Km = (K1.S1 + K2.S2 + K3.S3 + K4.S4 + K5.S5) /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 =0.80[W/(m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 (D =21.62)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标准条目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条夏热冬冷地区甲类公共建筑外墙传热系数的要求。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FF"/>
                <w:kern w:val="0"/>
                <w:szCs w:val="21"/>
              </w:rPr>
              <w:t>0.80</w:t>
            </w: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（限值：</w:t>
            </w:r>
            <w:r>
              <w:rPr>
                <w:rFonts w:ascii="Times New Roman" w:hAnsi="Times New Roman" w:eastAsia="宋体" w:cs="宋体"/>
                <w:color w:val="0000FF"/>
                <w:kern w:val="0"/>
                <w:szCs w:val="21"/>
              </w:rPr>
              <w:t>0.80</w:t>
            </w: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），满足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4"/>
          <w:szCs w:val="24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 xml:space="preserve">1.3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>底部接触空气的架空楼板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底部接触空气的架空楼板构造参数（默认架空楼板）：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水泥砂浆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(20.0mm)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碎石，卵石混凝土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(40.0mm)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挤塑聚苯板（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XPS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）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(60.0mm) +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钢筋混凝土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(100.0mm)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14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底部接触空气的架空楼板热工性能判定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底部接触空气的架空楼板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厚度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导热系数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蓄热系数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热阻值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热惰性指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修正系数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α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碎石，卵石混凝土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1.510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15.360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挤塑聚苯板（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XPS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0.320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1.667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1.20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底部接触空气的架空楼板各层之和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220.0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1.77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底部接触空气的架空楼板热阻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Ro=Ri+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∑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R+Re=1.92(m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Ri=0.11[(m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K)/W];Re=0.04[(m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K)/W]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底部接触空气的架空楼板传热系数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K=1/Ro=0.52[W/(m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标准条目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条夏热冬冷地区甲类公共建筑架空楼板传热系数的要求。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FF"/>
                <w:kern w:val="0"/>
                <w:szCs w:val="21"/>
              </w:rPr>
              <w:t>0.52</w:t>
            </w: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（限值：</w:t>
            </w:r>
            <w:r>
              <w:rPr>
                <w:rFonts w:ascii="Times New Roman" w:hAnsi="Times New Roman" w:eastAsia="宋体" w:cs="宋体"/>
                <w:color w:val="0000FF"/>
                <w:kern w:val="0"/>
                <w:szCs w:val="21"/>
              </w:rPr>
              <w:t>0.70</w:t>
            </w: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），满足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4"/>
          <w:szCs w:val="24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 xml:space="preserve">1.4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>外窗（含透明幕墙）传热系数</w:t>
      </w: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Cs w:val="21"/>
        </w:rPr>
        <w:t xml:space="preserve">   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Cs w:val="21"/>
        </w:rPr>
        <w:t>外窗构造类型：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塑料窗框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K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≤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1.9[W/(m2K)]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，窗框窗洞面积比≤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30%Low-E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中空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SuperSE-I5mm+12A+5mm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15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立面外窗传热系数判定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550"/>
        <w:gridCol w:w="1000"/>
        <w:gridCol w:w="2700"/>
        <w:gridCol w:w="1000"/>
        <w:gridCol w:w="1000"/>
        <w:gridCol w:w="1000"/>
        <w:gridCol w:w="1000"/>
        <w:gridCol w:w="10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朝向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外窗面积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传热系数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立面窗墙比（包括透光幕墙）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加权传热系数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传热系数限值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[W/(m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·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K)]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塑料窗框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1.9[W/(m2K)]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，窗框窗洞面积比≤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30%Low-E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中空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SuperSE-I5mm+12A+5mm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150.72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2.6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塑料窗框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1.9[W/(m2K)]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，窗框窗洞面积比≤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30%Low-E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中空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SuperSE-I5mm+12A+5mm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28.71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塑料窗框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1.9[W/(m2K)]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，窗框窗洞面积比≤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30%Low-E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中空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SuperSE-I5mm+12A+5mm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73.57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塑料窗框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1.9[W/(m2K)]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，窗框窗洞面积比≤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30%Low-E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中空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SuperSE-I5mm+12A+5mm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5.04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塑料窗框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1.9[W/(m2K)]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，窗框窗洞面积比≤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30%Low-E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中空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SuperSE-I5mm+12A+5mm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64.50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标准条目</w:t>
            </w:r>
          </w:p>
        </w:tc>
        <w:tc>
          <w:tcPr>
            <w:tcW w:w="77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条夏热冬冷地区甲类外窗的传热系数的要求。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77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4"/>
          <w:szCs w:val="24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 xml:space="preserve">1.5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>外窗（含透明幕墙）太阳得热系数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16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太阳得热系数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>SHGC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判断表（立面）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850"/>
        <w:gridCol w:w="1200"/>
        <w:gridCol w:w="1200"/>
        <w:gridCol w:w="1200"/>
        <w:gridCol w:w="1200"/>
        <w:gridCol w:w="1200"/>
        <w:gridCol w:w="1200"/>
        <w:gridCol w:w="12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朝向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玻璃太阳得热系数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窗框系数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外遮阳系数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SD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立面窗墙比（包括透光幕墙）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综合太阳得热系数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SHGC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SHGC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限值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0.10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标准条目</w:t>
            </w:r>
          </w:p>
        </w:tc>
        <w:tc>
          <w:tcPr>
            <w:tcW w:w="72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条夏热冬冷地区甲类外窗太阳得热系数的要求。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72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4"/>
          <w:szCs w:val="24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 xml:space="preserve">1.6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>外窗和透光幕墙遮阳措施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17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外窗遮阳设置情况判断表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000"/>
        <w:gridCol w:w="3400"/>
        <w:gridCol w:w="340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朝向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外窗遮阳设置情况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外窗遮阳设置情况限值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应采取遮阳措施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应采取遮阳措施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应采取遮阳措施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标准条目</w:t>
            </w:r>
          </w:p>
        </w:tc>
        <w:tc>
          <w:tcPr>
            <w:tcW w:w="6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条甲类公共建筑南、东、西向外窗和透光幕墙应采取遮阳措施。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6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200" w:after="20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32"/>
          <w:szCs w:val="32"/>
        </w:rPr>
        <w:t>六、规定性指标结论</w:t>
      </w:r>
    </w:p>
    <w:p>
      <w:pPr>
        <w:autoSpaceDE w:val="0"/>
        <w:autoSpaceDN w:val="0"/>
        <w:adjustRightInd w:val="0"/>
        <w:spacing w:before="150" w:after="15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8"/>
          <w:szCs w:val="28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 xml:space="preserve">1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>规定性指标判定情况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18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规定性指标判定情况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800"/>
        <w:gridCol w:w="5000"/>
        <w:gridCol w:w="1200"/>
        <w:gridCol w:w="1200"/>
        <w:gridCol w:w="105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建筑构件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设计值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标准限值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是否达标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屋面满足《建筑节能与可再生能源利用通用规范》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0.40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0.40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外墙满足《建筑节能与可再生能源利用通用规范》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0.80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底部接触空气的架空楼板满足《建筑节能与可再生能源利用通用规范》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0.70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外窗（含透明幕墙）传热系数满足《建筑节能与可再生能源利用通用规范》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1.90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2.6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外窗（含透明幕墙）太阳得热系数满足《建筑节能与可再生能源利用通用规范》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0.40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外窗和透光幕墙遮阳措施满足《建筑节能与可再生能源利用通用规范》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GB 55015-2021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3.1.15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应采取遮阳措施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ascii="Times New Roman" w:hAnsi="Times New Roman" w:eastAsia="宋体"/>
          <w:position w:val="10"/>
          <w:szCs w:val="21"/>
        </w:rPr>
      </w:pPr>
    </w:p>
    <w:p>
      <w:pPr>
        <w:autoSpaceDE w:val="0"/>
        <w:autoSpaceDN w:val="0"/>
        <w:adjustRightInd w:val="0"/>
        <w:spacing w:before="150" w:after="150"/>
        <w:jc w:val="left"/>
        <w:rPr>
          <w:rFonts w:ascii="宋体" w:hAnsi="Times New Roman" w:eastAsia="宋体" w:cs="宋体"/>
          <w:b/>
          <w:color w:val="000000"/>
          <w:kern w:val="0"/>
          <w:position w:val="10"/>
          <w:sz w:val="28"/>
          <w:szCs w:val="28"/>
        </w:rPr>
      </w:pPr>
      <w:r>
        <w:rPr>
          <w:rFonts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 xml:space="preserve">2 </w:t>
      </w: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8"/>
          <w:szCs w:val="28"/>
        </w:rPr>
        <w:t>强制性条文判定情况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Times New Roman" w:eastAsia="宋体" w:cs="宋体"/>
          <w:color w:val="000000"/>
          <w:kern w:val="0"/>
          <w:position w:val="1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表</w:t>
      </w:r>
      <w:r>
        <w:rPr>
          <w:rFonts w:ascii="Times New Roman" w:hAnsi="Times New Roman" w:eastAsia="宋体" w:cs="宋体"/>
          <w:color w:val="000000"/>
          <w:kern w:val="0"/>
          <w:position w:val="10"/>
          <w:szCs w:val="21"/>
        </w:rPr>
        <w:t xml:space="preserve">19 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Cs w:val="21"/>
        </w:rPr>
        <w:t>强制性条文判定情况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800"/>
        <w:gridCol w:w="5000"/>
        <w:gridCol w:w="1200"/>
        <w:gridCol w:w="1200"/>
        <w:gridCol w:w="105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建筑构件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设计值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标准限值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D9D9D9" w:fill="D9D9D9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是否达标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屋面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0.40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0.40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外墙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0.80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外窗（含透明幕墙）传热系数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1.90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3.00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外窗（含透明幕墙）传热系数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南立面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2)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1.90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3.00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外窗（含透明幕墙）传热系数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西立面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3)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1.90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3.00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外窗（含透明幕墙）传热系数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西立面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4)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1.90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3.00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外窗（含透明幕墙）传热系数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北立面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5)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K = 1.90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K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 xml:space="preserve"> 3.00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外窗和透光幕墙遮阳措施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东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应采取遮阳措施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外窗和透光幕墙遮阳措施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南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应采取遮阳措施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外窗和透光幕墙遮阳措施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西</w:t>
            </w:r>
            <w:r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中置百叶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应采取遮阳措施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宋体" w:hAnsi="Times New Roman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0"/>
                <w:szCs w:val="21"/>
              </w:rPr>
              <w:t>满足</w:t>
            </w:r>
          </w:p>
        </w:tc>
      </w:tr>
    </w:tbl>
    <w:p>
      <w:pPr>
        <w:autoSpaceDE w:val="0"/>
        <w:autoSpaceDN w:val="0"/>
        <w:adjustRightInd w:val="0"/>
        <w:spacing w:before="100" w:after="100"/>
        <w:jc w:val="left"/>
        <w:rPr>
          <w:rFonts w:ascii="宋体" w:hAnsi="Times New Roman" w:eastAsia="宋体" w:cs="宋体"/>
          <w:color w:val="000000"/>
          <w:kern w:val="0"/>
          <w:position w:val="1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position w:val="10"/>
          <w:sz w:val="24"/>
          <w:szCs w:val="24"/>
        </w:rPr>
        <w:t>规定性指标判定结论：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 w:val="24"/>
          <w:szCs w:val="24"/>
        </w:rPr>
        <w:t>本项目规定性指标</w:t>
      </w:r>
      <w:r>
        <w:rPr>
          <w:rFonts w:hint="eastAsia" w:ascii="Times New Roman" w:hAnsi="Times New Roman" w:eastAsia="宋体" w:cs="宋体"/>
          <w:color w:val="0000FF"/>
          <w:kern w:val="0"/>
          <w:position w:val="10"/>
          <w:sz w:val="24"/>
          <w:szCs w:val="24"/>
        </w:rPr>
        <w:t>满足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 w:val="24"/>
          <w:szCs w:val="24"/>
        </w:rPr>
        <w:t>《建筑节能与可再生能源利用通用规范》</w:t>
      </w:r>
      <w:r>
        <w:rPr>
          <w:rFonts w:ascii="Times New Roman" w:hAnsi="Times New Roman" w:eastAsia="宋体" w:cs="宋体"/>
          <w:color w:val="000000"/>
          <w:kern w:val="0"/>
          <w:position w:val="10"/>
          <w:sz w:val="24"/>
          <w:szCs w:val="24"/>
        </w:rPr>
        <w:t>GB 55015-2021</w:t>
      </w:r>
      <w:r>
        <w:rPr>
          <w:rFonts w:hint="eastAsia" w:ascii="Times New Roman" w:hAnsi="Times New Roman" w:eastAsia="宋体" w:cs="宋体"/>
          <w:color w:val="000000"/>
          <w:kern w:val="0"/>
          <w:position w:val="10"/>
          <w:sz w:val="24"/>
          <w:szCs w:val="24"/>
        </w:rPr>
        <w:t>的规范要求。</w:t>
      </w:r>
    </w:p>
    <w:sectPr>
      <w:footerReference r:id="rId3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3NGY4MDUwMDA3ZmVkZDZkMmMzZGUwNzQ2ZDQzMTkifQ=="/>
  </w:docVars>
  <w:rsids>
    <w:rsidRoot w:val="009C7F26"/>
    <w:rsid w:val="00000000"/>
    <w:rsid w:val="00670539"/>
    <w:rsid w:val="009C7F26"/>
    <w:rsid w:val="3D00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35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iPriority="39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眉 字符"/>
    <w:link w:val="3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4089</Words>
  <Characters>6987</Characters>
  <Lines>61</Lines>
  <Paragraphs>17</Paragraphs>
  <TotalTime>1</TotalTime>
  <ScaleCrop>false</ScaleCrop>
  <LinksUpToDate>false</LinksUpToDate>
  <CharactersWithSpaces>7282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2023-03-01T12:27:00Z</dcterms:created>
  <dc:creator>Breeze</dc:creator>
  <cp:lastModifiedBy>Breeze </cp:lastModifiedBy>
  <dcterms:modified xsi:type="dcterms:W3CDTF">2023-03-03T12:18:38Z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51A40A553AA043CA9EE0DF2ED8C25A0C</vt:lpwstr>
  </property>
</Properties>
</file>