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4.1.5</w:t>
      </w:r>
      <w:r>
        <w:rPr>
          <w:rFonts w:hint="eastAsia"/>
        </w:rPr>
        <w:t>建筑外门窗必须安装牢固，其抗风压性能和水密性能应符合国家现行有关标准的规定。</w:t>
      </w:r>
    </w:p>
    <w:p>
      <w:pPr>
        <w:pStyle w:val="7"/>
        <w:numPr>
          <w:ilvl w:val="0"/>
          <w:numId w:val="1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达标自评</w:t>
      </w:r>
    </w:p>
    <w:p>
      <w:pPr>
        <w:spacing w:line="288" w:lineRule="auto"/>
        <w:rPr>
          <w:rFonts w:ascii="宋体"/>
        </w:rPr>
      </w:pP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 w:ascii="宋体" w:hAnsi="宋体"/>
        </w:rPr>
        <w:t>达标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  <w:b/>
          <w:bCs/>
          <w:szCs w:val="21"/>
          <w:lang w:val="zh-CN"/>
        </w:rPr>
        <w:t>□</w:t>
      </w:r>
      <w:r>
        <w:rPr>
          <w:rFonts w:hint="eastAsia" w:ascii="宋体" w:hAnsi="宋体"/>
        </w:rPr>
        <w:t>不达标</w:t>
      </w:r>
    </w:p>
    <w:p>
      <w:pPr>
        <w:spacing w:line="288" w:lineRule="auto"/>
        <w:rPr>
          <w:szCs w:val="21"/>
        </w:rPr>
      </w:pPr>
    </w:p>
    <w:p>
      <w:pPr>
        <w:pStyle w:val="7"/>
        <w:numPr>
          <w:ilvl w:val="0"/>
          <w:numId w:val="1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评价要点</w:t>
      </w:r>
    </w:p>
    <w:p>
      <w:pPr>
        <w:pStyle w:val="7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门窗安全</w:t>
      </w:r>
    </w:p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门窗是否出现以下现象：</w:t>
      </w:r>
      <w:r>
        <w:rPr>
          <w:rFonts w:hint="eastAsia" w:ascii="宋体"/>
          <w:bCs/>
          <w:lang w:val="zh-CN"/>
        </w:rPr>
        <w:t>□</w:t>
      </w:r>
      <w:r>
        <w:rPr>
          <w:rFonts w:hint="eastAsia"/>
        </w:rPr>
        <w:t>渗水、</w:t>
      </w:r>
      <w:r>
        <w:rPr>
          <w:rFonts w:hint="eastAsia" w:ascii="宋体"/>
          <w:bCs/>
          <w:lang w:val="zh-CN"/>
        </w:rPr>
        <w:t>□</w:t>
      </w:r>
      <w:r>
        <w:rPr>
          <w:rFonts w:hint="eastAsia"/>
        </w:rPr>
        <w:t>窗扇脱落、</w:t>
      </w: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/>
        </w:rPr>
        <w:t>以上皆无</w:t>
      </w:r>
    </w:p>
    <w:p>
      <w:pPr>
        <w:spacing w:line="288" w:lineRule="auto"/>
        <w:rPr>
          <w:b/>
        </w:rPr>
      </w:pPr>
    </w:p>
    <w:p>
      <w:pPr>
        <w:pStyle w:val="7"/>
        <w:numPr>
          <w:ilvl w:val="0"/>
          <w:numId w:val="1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5"/>
        <w:tblW w:w="832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外门窗的抗风压性能和水密性能设计文件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应体现外门窗有足够的刚度、承载力和一定的变位能力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门窗产品的抗风压性能和水密性能检测报告及现场检测报告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现场抽样检测的取样数量应符合相应要求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rFonts w:hint="eastAsia"/>
          <w:b/>
        </w:rPr>
      </w:pPr>
    </w:p>
    <w:p>
      <w:pPr>
        <w:spacing w:before="156" w:beforeLines="50" w:after="156" w:afterLines="50" w:line="288" w:lineRule="auto"/>
      </w:pPr>
      <w:r>
        <w:rPr>
          <w:rFonts w:hint="eastAsia"/>
          <w:b/>
        </w:rPr>
        <w:t>实际提交材料：</w:t>
      </w:r>
    </w:p>
    <w:tbl>
      <w:tblPr>
        <w:tblStyle w:val="5"/>
        <w:tblW w:w="833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8330" w:type="dxa"/>
          </w:tcPr>
          <w:p>
            <w:pPr>
              <w:spacing w:line="288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142865" cy="2804795"/>
                  <wp:effectExtent l="0" t="0" r="635" b="14605"/>
                  <wp:docPr id="8" name="图片 8" descr="d0735dbaabffc7353a22425119ffd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0735dbaabffc7353a22425119ffdc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2865" cy="280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30AE2"/>
    <w:multiLevelType w:val="multilevel"/>
    <w:tmpl w:val="17E30AE2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5F2C52E6"/>
    <w:rsid w:val="5F2C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2023-03-05T13:22:00Z</dcterms:created>
  <dc:creator>大智</dc:creator>
  <cp:lastModifiedBy>大智</cp:lastModifiedBy>
  <dcterms:modified xsi:type="dcterms:W3CDTF">2023-03-05T13:22:50Z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0C8F750315F84575B00D18B6CE992884</vt:lpwstr>
  </property>
</Properties>
</file>