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288" w:lineRule="auto"/>
      </w:pPr>
      <w:bookmarkStart w:id="0" w:name="_Hlk68173215"/>
      <w:r>
        <w:t>6.1.3</w:t>
      </w:r>
      <w:r>
        <w:rPr>
          <w:rFonts w:hint="eastAsia"/>
        </w:rPr>
        <w:t>停车场应具有电动汽车充电设施或具备充电设施的安装条件，并应合理设置电动汽车和无障碍汽车停车位。</w:t>
      </w:r>
    </w:p>
    <w:p>
      <w:pPr>
        <w:numPr>
          <w:ilvl w:val="0"/>
          <w:numId w:val="1"/>
        </w:numPr>
        <w:spacing w:line="288" w:lineRule="auto"/>
        <w:rPr>
          <w:rFonts w:cs="宋体"/>
          <w:b/>
          <w:bCs/>
          <w:sz w:val="24"/>
          <w:lang w:val="zh-CN"/>
        </w:rPr>
      </w:pPr>
      <w:r>
        <w:rPr>
          <w:rFonts w:hint="eastAsia" w:cs="宋体"/>
          <w:b/>
          <w:bCs/>
          <w:sz w:val="24"/>
          <w:lang w:val="zh-CN"/>
        </w:rPr>
        <w:t>达标自评</w:t>
      </w:r>
    </w:p>
    <w:p>
      <w:pPr>
        <w:spacing w:line="288" w:lineRule="auto"/>
        <w:rPr>
          <w:szCs w:val="21"/>
        </w:rPr>
      </w:pPr>
      <w:r>
        <w:rPr>
          <w:rFonts w:hint="eastAsia"/>
          <w:b/>
          <w:bCs/>
          <w:szCs w:val="21"/>
          <w:lang w:val="zh-CN"/>
        </w:rPr>
        <w:t>□</w:t>
      </w:r>
      <w:r>
        <w:rPr>
          <w:rFonts w:hint="eastAsia"/>
          <w:szCs w:val="21"/>
        </w:rPr>
        <w:t xml:space="preserve">达标 </w:t>
      </w:r>
      <w:r>
        <w:rPr>
          <w:szCs w:val="21"/>
        </w:rPr>
        <w:t xml:space="preserve">   </w:t>
      </w:r>
      <w:r>
        <w:rPr>
          <w:rFonts w:hint="eastAsia"/>
          <w:b/>
          <w:bCs/>
          <w:szCs w:val="21"/>
          <w:lang w:val="zh-CN"/>
        </w:rPr>
        <w:t>☑</w:t>
      </w:r>
      <w:r>
        <w:rPr>
          <w:rFonts w:hint="eastAsia"/>
          <w:szCs w:val="21"/>
        </w:rPr>
        <w:t>不达标</w:t>
      </w:r>
    </w:p>
    <w:p>
      <w:pPr>
        <w:spacing w:line="288" w:lineRule="auto"/>
        <w:rPr>
          <w:szCs w:val="21"/>
        </w:rPr>
      </w:pPr>
    </w:p>
    <w:p>
      <w:pPr>
        <w:numPr>
          <w:ilvl w:val="0"/>
          <w:numId w:val="1"/>
        </w:numPr>
        <w:spacing w:line="288" w:lineRule="auto"/>
        <w:rPr>
          <w:rFonts w:cs="宋体"/>
          <w:b/>
          <w:bCs/>
          <w:sz w:val="24"/>
          <w:lang w:val="zh-CN"/>
        </w:rPr>
      </w:pPr>
      <w:r>
        <w:rPr>
          <w:rFonts w:hint="eastAsia" w:cs="宋体"/>
          <w:b/>
          <w:bCs/>
          <w:sz w:val="24"/>
          <w:lang w:val="zh-CN"/>
        </w:rPr>
        <w:t>评价要点</w:t>
      </w:r>
    </w:p>
    <w:p>
      <w:pPr>
        <w:pStyle w:val="7"/>
        <w:numPr>
          <w:ilvl w:val="0"/>
          <w:numId w:val="2"/>
        </w:numPr>
        <w:spacing w:line="288" w:lineRule="auto"/>
        <w:ind w:left="632" w:leftChars="100" w:hanging="422" w:hangingChars="200"/>
        <w:rPr>
          <w:b/>
          <w:lang w:val="zh-CN"/>
        </w:rPr>
      </w:pPr>
      <w:r>
        <w:rPr>
          <w:rFonts w:hint="eastAsia"/>
          <w:b/>
          <w:lang w:val="zh-CN"/>
        </w:rPr>
        <w:t>电动车停车设施</w:t>
      </w:r>
    </w:p>
    <w:p>
      <w:pPr>
        <w:spacing w:line="288" w:lineRule="auto"/>
        <w:rPr>
          <w:b/>
          <w:lang w:val="zh-CN"/>
        </w:rPr>
      </w:pPr>
      <w:r>
        <w:rPr>
          <w:rFonts w:hint="eastAsia"/>
        </w:rPr>
        <w:t>是否具有电动汽车充电设施或具备充电设施的安装条件</w:t>
      </w:r>
      <w:r>
        <w:rPr>
          <w:rFonts w:hint="eastAsia"/>
          <w:kern w:val="0"/>
        </w:rPr>
        <w:t>：□是、</w:t>
      </w:r>
      <w:r>
        <w:rPr>
          <w:rFonts w:hint="eastAsia"/>
          <w:b/>
          <w:bCs/>
          <w:szCs w:val="21"/>
          <w:lang w:val="zh-CN"/>
        </w:rPr>
        <w:t>☑</w:t>
      </w:r>
      <w:r>
        <w:rPr>
          <w:rFonts w:hint="eastAsia"/>
          <w:kern w:val="0"/>
        </w:rPr>
        <w:t>否</w:t>
      </w:r>
    </w:p>
    <w:p>
      <w:pPr>
        <w:spacing w:line="288" w:lineRule="auto"/>
        <w:rPr>
          <w:color w:val="FF0000"/>
          <w:kern w:val="0"/>
        </w:rPr>
      </w:pPr>
      <w:r>
        <w:rPr>
          <w:rFonts w:hint="eastAsia"/>
          <w:kern w:val="0"/>
        </w:rPr>
        <w:t>停车方式节约集约用地：</w:t>
      </w:r>
      <w:r>
        <w:rPr>
          <w:rFonts w:hint="eastAsia"/>
          <w:b/>
          <w:bCs/>
          <w:szCs w:val="21"/>
          <w:lang w:val="zh-CN"/>
        </w:rPr>
        <w:t>□</w:t>
      </w:r>
      <w:r>
        <w:rPr>
          <w:rFonts w:hint="eastAsia"/>
          <w:kern w:val="0"/>
        </w:rPr>
        <w:t>机械式停车库、□地下停车库、□停车楼、□其他方式</w:t>
      </w:r>
    </w:p>
    <w:p>
      <w:pPr>
        <w:spacing w:line="288" w:lineRule="auto"/>
        <w:rPr>
          <w:kern w:val="0"/>
        </w:rPr>
      </w:pPr>
      <w:r>
        <w:rPr>
          <w:rFonts w:hint="eastAsia"/>
          <w:kern w:val="0"/>
        </w:rPr>
        <w:t>采用错时停车方式向社会开放：□是、</w:t>
      </w:r>
      <w:r>
        <w:rPr>
          <w:rFonts w:hint="eastAsia"/>
          <w:b/>
          <w:bCs/>
          <w:szCs w:val="21"/>
          <w:lang w:val="zh-CN"/>
        </w:rPr>
        <w:t>☑</w:t>
      </w:r>
      <w:r>
        <w:rPr>
          <w:rFonts w:hint="eastAsia"/>
          <w:kern w:val="0"/>
        </w:rPr>
        <w:t>否（原因</w:t>
      </w:r>
      <w:r>
        <w:rPr>
          <w:kern w:val="0"/>
        </w:rPr>
        <w:t>_________________________</w:t>
      </w:r>
      <w:r>
        <w:rPr>
          <w:rFonts w:hint="eastAsia"/>
          <w:kern w:val="0"/>
        </w:rPr>
        <w:t>）</w:t>
      </w:r>
    </w:p>
    <w:p>
      <w:pPr>
        <w:spacing w:line="288" w:lineRule="auto"/>
        <w:rPr>
          <w:kern w:val="0"/>
        </w:rPr>
      </w:pPr>
      <w:r>
        <w:rPr>
          <w:rFonts w:hint="eastAsia"/>
          <w:kern w:val="0"/>
        </w:rPr>
        <w:t>地面停车设计合理，不挤占步行空间及活动场所：□是、</w:t>
      </w:r>
      <w:r>
        <w:rPr>
          <w:rFonts w:hint="eastAsia"/>
          <w:b/>
          <w:bCs/>
          <w:szCs w:val="21"/>
          <w:lang w:val="zh-CN"/>
        </w:rPr>
        <w:t>☑</w:t>
      </w:r>
      <w:r>
        <w:rPr>
          <w:rFonts w:hint="eastAsia"/>
          <w:kern w:val="0"/>
        </w:rPr>
        <w:t>否</w:t>
      </w:r>
    </w:p>
    <w:p>
      <w:pPr>
        <w:spacing w:line="288" w:lineRule="auto"/>
        <w:rPr>
          <w:kern w:val="0"/>
        </w:rPr>
      </w:pPr>
      <w:r>
        <w:rPr>
          <w:rFonts w:hint="eastAsia"/>
          <w:kern w:val="0"/>
        </w:rPr>
        <w:t>机动车停车位数量：</w:t>
      </w:r>
      <w:r>
        <w:rPr>
          <w:u w:val="single"/>
          <w:lang w:val="zh-CN"/>
        </w:rPr>
        <w:t xml:space="preserve">       </w:t>
      </w:r>
      <w:r>
        <w:rPr>
          <w:rFonts w:hint="eastAsia"/>
          <w:kern w:val="0"/>
        </w:rPr>
        <w:t>个</w:t>
      </w:r>
    </w:p>
    <w:p>
      <w:pPr>
        <w:spacing w:line="288" w:lineRule="auto"/>
        <w:rPr>
          <w:kern w:val="0"/>
        </w:rPr>
      </w:pPr>
      <w:r>
        <w:rPr>
          <w:rFonts w:hint="eastAsia"/>
          <w:kern w:val="0"/>
        </w:rPr>
        <w:t>规划条件中要求的数量</w:t>
      </w:r>
      <w:r>
        <w:rPr>
          <w:u w:val="single"/>
          <w:lang w:val="zh-CN"/>
        </w:rPr>
        <w:t xml:space="preserve">        </w:t>
      </w:r>
      <w:r>
        <w:rPr>
          <w:rFonts w:hint="eastAsia"/>
          <w:kern w:val="0"/>
        </w:rPr>
        <w:t>个，设计数量</w:t>
      </w:r>
      <w:r>
        <w:rPr>
          <w:u w:val="single"/>
          <w:lang w:val="zh-CN"/>
        </w:rPr>
        <w:t xml:space="preserve">       </w:t>
      </w:r>
      <w:r>
        <w:rPr>
          <w:rFonts w:hint="eastAsia"/>
          <w:kern w:val="0"/>
        </w:rPr>
        <w:t>个</w:t>
      </w:r>
    </w:p>
    <w:p>
      <w:pPr>
        <w:pStyle w:val="8"/>
        <w:spacing w:line="288" w:lineRule="auto"/>
        <w:outlineLvl w:val="9"/>
        <w:rPr>
          <w:sz w:val="21"/>
          <w:szCs w:val="21"/>
        </w:rPr>
      </w:pPr>
      <w:r>
        <w:rPr>
          <w:rFonts w:hint="eastAsia"/>
          <w:sz w:val="21"/>
          <w:szCs w:val="21"/>
        </w:rPr>
        <w:t>简要说明电动车停车位设置、停车方式、停车场管理等。（</w:t>
      </w:r>
      <w:r>
        <w:rPr>
          <w:sz w:val="21"/>
          <w:szCs w:val="21"/>
        </w:rPr>
        <w:t>300</w:t>
      </w:r>
      <w:r>
        <w:rPr>
          <w:rFonts w:hint="eastAsia"/>
          <w:sz w:val="21"/>
          <w:szCs w:val="21"/>
        </w:rPr>
        <w:t>字以内）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12" w:hRule="atLeast"/>
        </w:trPr>
        <w:tc>
          <w:tcPr>
            <w:tcW w:w="8330" w:type="dxa"/>
          </w:tcPr>
          <w:p>
            <w:pPr>
              <w:pStyle w:val="8"/>
              <w:spacing w:line="288" w:lineRule="auto"/>
              <w:jc w:val="left"/>
              <w:outlineLvl w:val="9"/>
              <w:rPr>
                <w:sz w:val="21"/>
                <w:szCs w:val="21"/>
              </w:rPr>
            </w:pPr>
          </w:p>
        </w:tc>
      </w:tr>
    </w:tbl>
    <w:p>
      <w:pPr>
        <w:spacing w:line="288" w:lineRule="auto"/>
      </w:pPr>
    </w:p>
    <w:p>
      <w:pPr>
        <w:numPr>
          <w:ilvl w:val="0"/>
          <w:numId w:val="1"/>
        </w:numPr>
        <w:spacing w:line="288" w:lineRule="auto"/>
        <w:rPr>
          <w:rFonts w:cs="宋体"/>
          <w:b/>
          <w:bCs/>
          <w:sz w:val="24"/>
          <w:lang w:val="zh-CN"/>
        </w:rPr>
      </w:pPr>
      <w:r>
        <w:rPr>
          <w:rFonts w:hint="eastAsia" w:cs="宋体"/>
          <w:b/>
          <w:bCs/>
          <w:sz w:val="24"/>
          <w:lang w:val="zh-CN"/>
        </w:rPr>
        <w:t>证明材料</w:t>
      </w:r>
    </w:p>
    <w:p>
      <w:pPr>
        <w:spacing w:before="156" w:beforeLines="50" w:after="156" w:afterLines="50" w:line="288" w:lineRule="auto"/>
        <w:rPr>
          <w:b/>
        </w:rPr>
      </w:pPr>
      <w:r>
        <w:rPr>
          <w:rFonts w:hint="eastAsia"/>
          <w:b/>
        </w:rPr>
        <w:t>建议提交材料及技术要求：</w:t>
      </w:r>
    </w:p>
    <w:tbl>
      <w:tblPr>
        <w:tblStyle w:val="5"/>
        <w:tblW w:w="8320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2020"/>
        <w:gridCol w:w="3855"/>
        <w:gridCol w:w="905"/>
        <w:gridCol w:w="8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评价</w:t>
            </w:r>
          </w:p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阶段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建筑设计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建筑施工图</w:t>
            </w:r>
          </w:p>
        </w:tc>
        <w:tc>
          <w:tcPr>
            <w:tcW w:w="3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应包括电动汽车停车位和无障碍停车位设计内容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预评价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电气设计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电气施工图</w:t>
            </w:r>
          </w:p>
        </w:tc>
        <w:tc>
          <w:tcPr>
            <w:tcW w:w="3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应体现充电设施条件、配电系统要求、布线系统要求、计量要求等设计内容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预评价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公建</w:t>
            </w:r>
          </w:p>
        </w:tc>
      </w:tr>
    </w:tbl>
    <w:p>
      <w:pPr>
        <w:spacing w:before="156" w:beforeLines="50" w:after="156" w:afterLines="50" w:line="288" w:lineRule="auto"/>
        <w:rPr>
          <w:b/>
        </w:rPr>
      </w:pPr>
      <w:r>
        <w:rPr>
          <w:rFonts w:hint="eastAsia"/>
          <w:b/>
        </w:rPr>
        <w:t>实际提交材料：</w:t>
      </w:r>
    </w:p>
    <w:tbl>
      <w:tblPr>
        <w:tblStyle w:val="5"/>
        <w:tblW w:w="83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</w:trPr>
        <w:tc>
          <w:tcPr>
            <w:tcW w:w="8330" w:type="dxa"/>
          </w:tcPr>
          <w:p>
            <w:pPr>
              <w:spacing w:line="288" w:lineRule="auto"/>
            </w:pPr>
          </w:p>
        </w:tc>
      </w:tr>
      <w:bookmarkEnd w:id="0"/>
    </w:tbl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1915FC"/>
    <w:multiLevelType w:val="multilevel"/>
    <w:tmpl w:val="1C1915FC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54C26E60"/>
    <w:multiLevelType w:val="multilevel"/>
    <w:tmpl w:val="54C26E60"/>
    <w:lvl w:ilvl="0" w:tentative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hint="eastAsia" w:cs="Times New Roman"/>
        <w:b/>
        <w:bCs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kYzNmODM4MWZhNjY0ZDlkZGVkM2Y0NzllM2Q3ZTcifQ=="/>
  </w:docVars>
  <w:rsids>
    <w:rsidRoot w:val="294A63F9"/>
    <w:rsid w:val="294A6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napToGrid w:val="0"/>
      <w:spacing w:before="120" w:after="120"/>
      <w:jc w:val="left"/>
      <w:outlineLvl w:val="1"/>
    </w:pPr>
    <w:rPr>
      <w:rFonts w:ascii="黑体" w:hAnsi="黑体" w:eastAsia="黑体"/>
      <w:b/>
      <w:bCs/>
      <w:kern w:val="0"/>
      <w:sz w:val="24"/>
      <w:szCs w:val="32"/>
    </w:rPr>
  </w:style>
  <w:style w:type="paragraph" w:styleId="3">
    <w:name w:val="heading 3"/>
    <w:basedOn w:val="2"/>
    <w:next w:val="4"/>
    <w:qFormat/>
    <w:uiPriority w:val="99"/>
    <w:pPr>
      <w:outlineLvl w:val="2"/>
    </w:p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lock Text"/>
    <w:qFormat/>
    <w:uiPriority w:val="99"/>
    <w:pPr>
      <w:kinsoku w:val="0"/>
      <w:snapToGrid w:val="0"/>
    </w:pPr>
    <w:rPr>
      <w:rFonts w:ascii="微软雅黑" w:hAnsi="微软雅黑" w:eastAsia="微软雅黑" w:cs="Times New Roman"/>
      <w:sz w:val="21"/>
      <w:szCs w:val="21"/>
      <w:lang w:val="en-GB" w:eastAsia="zh-CN" w:bidi="ar-SA"/>
    </w:rPr>
  </w:style>
  <w:style w:type="paragraph" w:styleId="7">
    <w:name w:val="List Paragraph"/>
    <w:basedOn w:val="1"/>
    <w:qFormat/>
    <w:uiPriority w:val="99"/>
    <w:pPr>
      <w:ind w:firstLine="420" w:firstLineChars="200"/>
    </w:pPr>
    <w:rPr>
      <w:szCs w:val="21"/>
    </w:rPr>
  </w:style>
  <w:style w:type="paragraph" w:customStyle="1" w:styleId="8">
    <w:name w:val="条文"/>
    <w:basedOn w:val="1"/>
    <w:qFormat/>
    <w:uiPriority w:val="99"/>
    <w:pPr>
      <w:spacing w:line="300" w:lineRule="auto"/>
      <w:outlineLvl w:val="2"/>
    </w:pPr>
    <w:rPr>
      <w:rFonts w:cstheme="minorBidi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2023-03-05T13:42:00Z</dcterms:created>
  <dc:creator>大智</dc:creator>
  <cp:lastModifiedBy>大智</cp:lastModifiedBy>
  <dcterms:modified xsi:type="dcterms:W3CDTF">2023-03-05T13:43:05Z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F5AFBBFD513E4E3191352FE5B4CBFD47</vt:lpwstr>
  </property>
</Properties>
</file>