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szCs w:val="24"/>
        </w:rPr>
      </w:pPr>
      <w:r>
        <w:t>7.1.1</w:t>
      </w:r>
      <w:r>
        <w:rPr>
          <w:rFonts w:hint="eastAsia"/>
        </w:rPr>
        <w:t>应结合场地自然条件和建筑功能需求，对建筑的体形、平面布局、空间尺度、围护结构等进行节能设计，且应符合国家有关节能设计的要求。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kern w:val="0"/>
        </w:rPr>
      </w:pPr>
      <w:r>
        <w:rPr>
          <w:rFonts w:hint="eastAsia"/>
          <w:kern w:val="0"/>
          <w:lang w:eastAsia="zh-CN"/>
        </w:rPr>
        <w:t>☑</w:t>
      </w:r>
      <w:r>
        <w:rPr>
          <w:rFonts w:hint="eastAsia"/>
          <w:kern w:val="0"/>
        </w:rPr>
        <w:t>达标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□不达标</w:t>
      </w:r>
    </w:p>
    <w:p>
      <w:pPr>
        <w:spacing w:line="288" w:lineRule="auto"/>
        <w:rPr>
          <w:kern w:val="0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8"/>
        <w:numPr>
          <w:ilvl w:val="0"/>
          <w:numId w:val="2"/>
        </w:numPr>
        <w:ind w:left="632" w:leftChars="100" w:hanging="422" w:hangingChars="200"/>
      </w:pPr>
      <w:r>
        <w:rPr>
          <w:rFonts w:hint="eastAsia"/>
        </w:rPr>
        <w:t>建筑设计参数：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2268"/>
        <w:gridCol w:w="1134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楼栋编号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建筑体形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建筑朝向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窗墙比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□点式</w:t>
            </w:r>
          </w:p>
          <w:p>
            <w:pPr>
              <w:spacing w:line="288" w:lineRule="auto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体形系数：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0.23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是否满足国家或地方节能标准：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是□否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东向</w:t>
            </w:r>
          </w:p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西向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□点式</w:t>
            </w:r>
          </w:p>
          <w:p>
            <w:pPr>
              <w:spacing w:line="288" w:lineRule="auto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体形系数：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0.31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是否满足国家或地方节能标准：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是□否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东向</w:t>
            </w:r>
          </w:p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西向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□点式</w:t>
            </w:r>
          </w:p>
          <w:p>
            <w:pPr>
              <w:spacing w:line="288" w:lineRule="auto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体形系数：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0.28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是否满足国家或地方节能标准：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是□否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东向</w:t>
            </w:r>
          </w:p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南向</w:t>
            </w:r>
          </w:p>
          <w:p>
            <w:pPr>
              <w:spacing w:line="288" w:lineRule="auto"/>
              <w:rPr>
                <w:u w:val="single"/>
              </w:rPr>
            </w:pPr>
            <w:r>
              <w:rPr>
                <w:rFonts w:hint="eastAsia"/>
              </w:rPr>
              <w:t>西向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□是□否</w:t>
            </w:r>
          </w:p>
        </w:tc>
      </w:tr>
    </w:tbl>
    <w:p>
      <w:pPr>
        <w:spacing w:line="288" w:lineRule="auto"/>
        <w:rPr>
          <w:rFonts w:ascii="宋体"/>
          <w:color w:val="000000"/>
          <w:szCs w:val="21"/>
        </w:rPr>
      </w:pPr>
    </w:p>
    <w:p>
      <w:pPr>
        <w:spacing w:line="288" w:lineRule="auto"/>
      </w:pPr>
      <w:r>
        <w:rPr>
          <w:rFonts w:hint="eastAsia"/>
        </w:rPr>
        <w:t>建筑的楼间距最小是</w:t>
      </w:r>
      <w:r>
        <w:rPr>
          <w:u w:val="single"/>
          <w:lang w:val="zh-CN"/>
        </w:rPr>
        <w:t xml:space="preserve">  </w:t>
      </w:r>
      <w:r>
        <w:rPr>
          <w:rFonts w:hint="eastAsia"/>
          <w:u w:val="single"/>
          <w:lang w:val="en-US" w:eastAsia="zh-CN"/>
        </w:rPr>
        <w:t>西侧厨房仓库大院</w:t>
      </w:r>
      <w:r>
        <w:rPr>
          <w:u w:val="single"/>
          <w:lang w:val="zh-CN"/>
        </w:rPr>
        <w:t xml:space="preserve"> </w:t>
      </w:r>
      <w:r>
        <w:rPr>
          <w:rFonts w:hint="eastAsia"/>
          <w:u w:val="none"/>
          <w:lang w:val="en-US" w:eastAsia="zh-CN"/>
        </w:rPr>
        <w:t>内</w:t>
      </w:r>
      <w:r>
        <w:rPr>
          <w:rFonts w:hint="eastAsia"/>
        </w:rPr>
        <w:t>，距离为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14</w:t>
      </w:r>
      <w:r>
        <w:rPr>
          <w:u w:val="single"/>
          <w:lang w:val="zh-CN"/>
        </w:rPr>
        <w:t xml:space="preserve">   </w:t>
      </w:r>
      <w:r>
        <w:t>m</w:t>
      </w:r>
      <w:r>
        <w:rPr>
          <w:rFonts w:hint="eastAsia"/>
        </w:rPr>
        <w:t>。</w:t>
      </w:r>
    </w:p>
    <w:p>
      <w:pPr>
        <w:pStyle w:val="10"/>
        <w:spacing w:line="288" w:lineRule="auto"/>
        <w:ind w:firstLine="0" w:firstLineChars="0"/>
        <w:rPr>
          <w:rFonts w:cs="宋体"/>
        </w:rPr>
      </w:pPr>
      <w:r>
        <w:rPr>
          <w:rFonts w:hint="eastAsia" w:cs="宋体"/>
        </w:rPr>
        <w:t>简要说明对建筑体形、朝向、楼距、窗墙比等进行的优化设计：</w:t>
      </w:r>
    </w:p>
    <w:p>
      <w:pPr>
        <w:pStyle w:val="10"/>
        <w:numPr>
          <w:ilvl w:val="0"/>
          <w:numId w:val="3"/>
        </w:numPr>
        <w:spacing w:line="288" w:lineRule="auto"/>
        <w:ind w:firstLineChars="0"/>
        <w:rPr>
          <w:rFonts w:cs="宋体"/>
        </w:rPr>
      </w:pPr>
      <w:r>
        <w:rPr>
          <w:rFonts w:hint="eastAsia" w:cs="宋体"/>
        </w:rPr>
        <w:t>概述项目所在地气候条件特点，在建筑朝向、布局设计时如何考虑冬季获得足够的日照，</w:t>
      </w:r>
    </w:p>
    <w:p>
      <w:pPr>
        <w:pStyle w:val="10"/>
        <w:spacing w:line="288" w:lineRule="auto"/>
        <w:ind w:left="360" w:firstLine="0" w:firstLineChars="0"/>
      </w:pPr>
      <w:r>
        <w:rPr>
          <w:rFonts w:hint="eastAsia" w:cs="宋体"/>
        </w:rPr>
        <w:t>避开主导风向，夏季利用自然通风，降低太阳辐射影响及防止暴风雨袭击等。（</w:t>
      </w:r>
      <w:r>
        <w:t>150</w:t>
      </w:r>
      <w:r>
        <w:rPr>
          <w:rFonts w:hint="eastAsia" w:cs="宋体"/>
        </w:rPr>
        <w:t>字以内）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364" w:type="dxa"/>
          </w:tcPr>
          <w:p>
            <w:pPr>
              <w:spacing w:line="288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苏州</w:t>
            </w:r>
            <w:r>
              <w:rPr>
                <w:rFonts w:hint="eastAsia"/>
              </w:rPr>
              <w:t>位于北半球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冬风的主导方向是北风，都是寒风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夏风是南风，</w:t>
            </w:r>
            <w:r>
              <w:rPr>
                <w:rFonts w:hint="eastAsia"/>
                <w:lang w:val="en-US" w:eastAsia="zh-CN"/>
              </w:rPr>
              <w:t>比较温暖</w:t>
            </w:r>
            <w:r>
              <w:rPr>
                <w:rFonts w:hint="eastAsia"/>
              </w:rPr>
              <w:t>。因此，为了避免寒风，建筑方向选择</w:t>
            </w:r>
            <w:r>
              <w:rPr>
                <w:rFonts w:hint="eastAsia"/>
                <w:lang w:val="en-US" w:eastAsia="zh-CN"/>
              </w:rPr>
              <w:t>坐</w:t>
            </w:r>
            <w:r>
              <w:rPr>
                <w:rFonts w:hint="eastAsia"/>
              </w:rPr>
              <w:t>北朝南。</w:t>
            </w:r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numPr>
          <w:ilvl w:val="0"/>
          <w:numId w:val="3"/>
        </w:numPr>
        <w:spacing w:line="288" w:lineRule="auto"/>
        <w:ind w:left="360" w:leftChars="0" w:hanging="360" w:firstLineChars="0"/>
        <w:outlineLvl w:val="9"/>
        <w:rPr>
          <w:rFonts w:hint="eastAsia"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概述自然通风效果优化模拟计算结论（</w:t>
      </w:r>
      <w:r>
        <w:rPr>
          <w:sz w:val="21"/>
          <w:szCs w:val="21"/>
        </w:rPr>
        <w:t>100</w:t>
      </w:r>
      <w:r>
        <w:rPr>
          <w:rFonts w:hint="eastAsia" w:cs="宋体"/>
          <w:sz w:val="21"/>
          <w:szCs w:val="21"/>
        </w:rPr>
        <w:t>字以内）</w:t>
      </w:r>
    </w:p>
    <w:p>
      <w:pPr>
        <w:pStyle w:val="3"/>
      </w:pPr>
      <w:bookmarkStart w:id="0" w:name="_Toc509844765"/>
      <w:bookmarkStart w:id="1" w:name="_Toc128769740"/>
      <w:r>
        <w:rPr>
          <w:rFonts w:hint="eastAsia"/>
        </w:rPr>
        <w:t>冬季工况达标判断</w:t>
      </w:r>
      <w:bookmarkEnd w:id="0"/>
      <w:bookmarkEnd w:id="1"/>
      <w:bookmarkStart w:id="2" w:name="_Toc509844766"/>
      <w:bookmarkEnd w:id="2"/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364" w:type="dxa"/>
          </w:tcPr>
          <w:tbl>
            <w:tblPr>
              <w:tblStyle w:val="6"/>
              <w:tblW w:w="8177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7"/>
              <w:gridCol w:w="2256"/>
              <w:gridCol w:w="1742"/>
              <w:gridCol w:w="739"/>
              <w:gridCol w:w="224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1197" w:type="dxa"/>
                  <w:tcBorders>
                    <w:top w:val="single" w:color="auto" w:sz="12" w:space="0"/>
                    <w:bottom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评价项目</w:t>
                  </w:r>
                </w:p>
              </w:tc>
              <w:tc>
                <w:tcPr>
                  <w:tcW w:w="2256" w:type="dxa"/>
                  <w:tcBorders>
                    <w:top w:val="single" w:color="auto" w:sz="12" w:space="0"/>
                    <w:bottom w:val="single" w:color="auto" w:sz="4" w:space="0"/>
                  </w:tcBorders>
                  <w:shd w:val="clear" w:color="auto" w:fill="E6E6E6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标准要求</w:t>
                  </w:r>
                </w:p>
              </w:tc>
              <w:tc>
                <w:tcPr>
                  <w:tcW w:w="1742" w:type="dxa"/>
                  <w:tcBorders>
                    <w:top w:val="single" w:color="auto" w:sz="12" w:space="0"/>
                    <w:bottom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项目计算结果</w:t>
                  </w:r>
                </w:p>
              </w:tc>
              <w:tc>
                <w:tcPr>
                  <w:tcW w:w="739" w:type="dxa"/>
                  <w:tcBorders>
                    <w:top w:val="single" w:color="auto" w:sz="12" w:space="0"/>
                    <w:bottom w:val="single" w:color="auto" w:sz="4" w:space="0"/>
                  </w:tcBorders>
                  <w:shd w:val="clear" w:color="auto" w:fill="E6E6E6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达标判定</w:t>
                  </w:r>
                </w:p>
              </w:tc>
              <w:tc>
                <w:tcPr>
                  <w:tcW w:w="2243" w:type="dxa"/>
                  <w:tcBorders>
                    <w:top w:val="single" w:color="auto" w:sz="12" w:space="0"/>
                    <w:bottom w:val="single" w:color="auto" w:sz="4" w:space="0"/>
                  </w:tcBorders>
                  <w:shd w:val="clear" w:color="auto" w:fill="E6E6E6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7" w:hRule="atLeast"/>
              </w:trPr>
              <w:tc>
                <w:tcPr>
                  <w:tcW w:w="1197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风速</w:t>
                  </w:r>
                </w:p>
              </w:tc>
              <w:tc>
                <w:tcPr>
                  <w:tcW w:w="2256" w:type="dxa"/>
                  <w:vMerge w:val="restart"/>
                  <w:tcBorders>
                    <w:top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建筑物周围人行区距地高1. 5m处风速小于5m/s, 户外休息区、儿童娱乐区风速小于2m/s, 且室外风速放大系数小于2, 得</w:t>
                  </w:r>
                  <w:bookmarkStart w:id="3" w:name="标准要求冬季风速得分"/>
                  <w:r>
                    <w:rPr>
                      <w:rFonts w:hint="eastAsia"/>
                      <w:lang w:val="en-US"/>
                    </w:rPr>
                    <w:t>3</w:t>
                  </w:r>
                  <w:bookmarkEnd w:id="3"/>
                  <w:r>
                    <w:rPr>
                      <w:rFonts w:hint="eastAsia"/>
                      <w:lang w:val="en-US"/>
                    </w:rPr>
                    <w:t>分；</w:t>
                  </w:r>
                </w:p>
              </w:tc>
              <w:tc>
                <w:tcPr>
                  <w:tcW w:w="1742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计算域</w:t>
                  </w:r>
                  <w:bookmarkStart w:id="4" w:name="冬季风速结果计算域"/>
                  <w:r>
                    <w:t>没有出现</w:t>
                  </w:r>
                  <w:bookmarkEnd w:id="4"/>
                  <w:r>
                    <w:rPr>
                      <w:rFonts w:hint="eastAsia"/>
                      <w:lang w:val="en-US"/>
                    </w:rPr>
                    <w:t>风速大于</w:t>
                  </w:r>
                  <w:r>
                    <w:rPr>
                      <w:lang w:val="en-US"/>
                    </w:rPr>
                    <w:t>5m/s</w:t>
                  </w:r>
                  <w:r>
                    <w:rPr>
                      <w:rFonts w:hint="eastAsia"/>
                      <w:lang w:val="en-US"/>
                    </w:rPr>
                    <w:t>的区域</w:t>
                  </w:r>
                </w:p>
              </w:tc>
              <w:tc>
                <w:tcPr>
                  <w:tcW w:w="739" w:type="dxa"/>
                  <w:vMerge w:val="restart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lang w:val="en-US"/>
                    </w:rPr>
                  </w:pPr>
                  <w:bookmarkStart w:id="5" w:name="冬季风速达标判定"/>
                  <w:r>
                    <w:rPr>
                      <w:rFonts w:hint="eastAsia"/>
                      <w:b/>
                      <w:lang w:val="en-US"/>
                    </w:rPr>
                    <w:t>达标</w:t>
                  </w:r>
                  <w:bookmarkEnd w:id="5"/>
                </w:p>
              </w:tc>
              <w:tc>
                <w:tcPr>
                  <w:tcW w:w="2243" w:type="dxa"/>
                  <w:vMerge w:val="restart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6" w:name="冬季风速得分"/>
                  <w:r>
                    <w:rPr>
                      <w:rFonts w:hint="eastAsia"/>
                      <w:lang w:val="en-US"/>
                    </w:rPr>
                    <w:t>3</w:t>
                  </w:r>
                  <w:bookmarkEnd w:id="6"/>
                  <w:r>
                    <w:rPr>
                      <w:rFonts w:hint="eastAsia"/>
                      <w:lang w:val="en-US"/>
                    </w:rPr>
                    <w:t>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3" w:hRule="atLeast"/>
              </w:trPr>
              <w:tc>
                <w:tcPr>
                  <w:tcW w:w="119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风速放大系数</w:t>
                  </w:r>
                </w:p>
              </w:tc>
              <w:tc>
                <w:tcPr>
                  <w:tcW w:w="2256" w:type="dxa"/>
                  <w:vMerge w:val="continue"/>
                  <w:shd w:val="clear" w:color="auto" w:fill="auto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计算域</w:t>
                  </w:r>
                  <w:bookmarkStart w:id="7" w:name="冬季风速放大系数结果计算域"/>
                  <w:r>
                    <w:t>没有出现</w:t>
                  </w:r>
                  <w:bookmarkEnd w:id="7"/>
                  <w:r>
                    <w:rPr>
                      <w:rFonts w:hint="eastAsia"/>
                      <w:lang w:val="en-US"/>
                    </w:rPr>
                    <w:t>风速放大系数大于等于2的区域</w:t>
                  </w:r>
                </w:p>
              </w:tc>
              <w:tc>
                <w:tcPr>
                  <w:tcW w:w="739" w:type="dxa"/>
                  <w:vMerge w:val="continue"/>
                  <w:shd w:val="clear" w:color="auto" w:fill="auto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43" w:type="dxa"/>
                  <w:vMerge w:val="continue"/>
                  <w:shd w:val="clear" w:color="auto" w:fill="auto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8" w:hRule="atLeast"/>
              </w:trPr>
              <w:tc>
                <w:tcPr>
                  <w:tcW w:w="119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建筑迎风面/背风面风压值</w:t>
                  </w:r>
                </w:p>
              </w:tc>
              <w:tc>
                <w:tcPr>
                  <w:tcW w:w="2256" w:type="dxa"/>
                  <w:shd w:val="clear" w:color="auto" w:fill="auto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除迎风第一排建筑外，建筑迎风面与背风面表面风压差不超过5Pa，得</w:t>
                  </w:r>
                  <w:bookmarkStart w:id="8" w:name="标准要求冬季风压得分"/>
                  <w:r>
                    <w:rPr>
                      <w:rFonts w:hint="eastAsia"/>
                      <w:lang w:val="en-US"/>
                    </w:rPr>
                    <w:t>2</w:t>
                  </w:r>
                  <w:bookmarkEnd w:id="8"/>
                  <w:r>
                    <w:rPr>
                      <w:rFonts w:hint="eastAsia"/>
                      <w:lang w:val="en-US"/>
                    </w:rPr>
                    <w:t>分</w:t>
                  </w:r>
                  <w:r>
                    <w:rPr>
                      <w:lang w:val="en-US"/>
                    </w:rPr>
                    <w:t>未出现风速超标区域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本项目</w:t>
                  </w:r>
                  <w:bookmarkStart w:id="9" w:name="冬季迎背风面结果"/>
                  <w:r>
                    <w:rPr>
                      <w:color w:val="FF0000"/>
                    </w:rPr>
                    <w:t>出现</w:t>
                  </w:r>
                  <w:bookmarkEnd w:id="9"/>
                  <w:r>
                    <w:rPr>
                      <w:rFonts w:hint="eastAsia"/>
                      <w:lang w:val="en-US"/>
                    </w:rPr>
                    <w:t>建筑迎风面与背风面表面风压差大于5Pa的建筑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" w:name="冬季迎背风面达标判定"/>
                  <w:r>
                    <w:rPr>
                      <w:rFonts w:hint="eastAsia"/>
                      <w:b/>
                      <w:color w:val="FF0000"/>
                      <w:lang w:val="en-US"/>
                    </w:rPr>
                    <w:t>不达标</w:t>
                  </w:r>
                  <w:bookmarkEnd w:id="10"/>
                </w:p>
              </w:tc>
              <w:tc>
                <w:tcPr>
                  <w:tcW w:w="224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" w:name="冬季迎背风面得分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11"/>
                  <w:r>
                    <w:rPr>
                      <w:rFonts w:hint="eastAsia"/>
                      <w:lang w:val="en-US"/>
                    </w:rPr>
                    <w:t>分</w:t>
                  </w:r>
                </w:p>
              </w:tc>
            </w:tr>
          </w:tbl>
          <w:p>
            <w:pPr>
              <w:pStyle w:val="5"/>
              <w:spacing w:line="288" w:lineRule="auto"/>
              <w:ind w:firstLine="420"/>
              <w:rPr>
                <w:rFonts w:ascii="Times New Roman" w:hAnsi="Times New Roman" w:eastAsia="宋体"/>
                <w:kern w:val="2"/>
                <w:sz w:val="21"/>
                <w:szCs w:val="24"/>
              </w:rPr>
            </w:pPr>
          </w:p>
        </w:tc>
      </w:tr>
    </w:tbl>
    <w:p>
      <w:pPr>
        <w:pStyle w:val="11"/>
        <w:spacing w:line="288" w:lineRule="auto"/>
        <w:jc w:val="left"/>
        <w:outlineLvl w:val="9"/>
        <w:rPr>
          <w:sz w:val="21"/>
          <w:szCs w:val="21"/>
        </w:rPr>
      </w:pPr>
    </w:p>
    <w:p>
      <w:pPr>
        <w:pStyle w:val="11"/>
        <w:spacing w:line="288" w:lineRule="auto"/>
        <w:jc w:val="left"/>
        <w:outlineLvl w:val="9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 w:cs="宋体"/>
          <w:sz w:val="21"/>
          <w:szCs w:val="21"/>
        </w:rPr>
        <w:t>、概述自然采光效果优化模拟计算结论（</w:t>
      </w:r>
      <w:r>
        <w:rPr>
          <w:sz w:val="21"/>
          <w:szCs w:val="21"/>
        </w:rPr>
        <w:t>100</w:t>
      </w:r>
      <w:r>
        <w:rPr>
          <w:rFonts w:hint="eastAsia" w:cs="宋体"/>
          <w:sz w:val="21"/>
          <w:szCs w:val="21"/>
        </w:rPr>
        <w:t>字以内）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364" w:type="dxa"/>
          </w:tcPr>
          <w:p>
            <w:pPr>
              <w:pStyle w:val="4"/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通过对本建筑的采光模拟和统计分析，根据满足</w:t>
            </w:r>
            <w:r>
              <w:t>《建筑环境通用规范》GB 55016-2021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/>
              </w:rPr>
              <w:t xml:space="preserve">《建筑采光设计标准》 </w:t>
            </w:r>
            <w:r>
              <w:rPr>
                <w:lang w:val="en-US"/>
              </w:rPr>
              <w:t>GB 50033-2013</w:t>
            </w:r>
            <w:r>
              <w:rPr>
                <w:rFonts w:hint="eastAsia"/>
                <w:lang w:val="en-US"/>
              </w:rPr>
              <w:t>要求的房间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户型情况汇总如下：</w:t>
            </w:r>
          </w:p>
          <w:p>
            <w:pPr>
              <w:pStyle w:val="11"/>
              <w:spacing w:line="288" w:lineRule="auto"/>
              <w:outlineLvl w:val="9"/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5168900" cy="1668145"/>
                  <wp:effectExtent l="0" t="0" r="12700" b="8255"/>
                  <wp:docPr id="2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0" cy="166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88" w:lineRule="auto"/>
        <w:rPr>
          <w:rFonts w:cs="宋体"/>
        </w:rPr>
      </w:pPr>
    </w:p>
    <w:p>
      <w:pPr>
        <w:spacing w:line="288" w:lineRule="auto"/>
        <w:rPr>
          <w:rFonts w:cs="宋体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242"/>
        <w:gridCol w:w="100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4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0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24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00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4242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应包括对建筑总平面设计原则的简要阐述，以及对朝向、体形系数、窗墙比的具体说明，并与图纸吻合</w:t>
            </w:r>
          </w:p>
        </w:tc>
        <w:tc>
          <w:tcPr>
            <w:tcW w:w="100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42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应体现建筑的窗墙比并与建筑设计说明吻合</w:t>
            </w:r>
          </w:p>
        </w:tc>
        <w:tc>
          <w:tcPr>
            <w:tcW w:w="100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42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应包括建筑鸟瞰图、单体效果图，反映建筑的窗墙比并与说明吻合</w:t>
            </w:r>
          </w:p>
        </w:tc>
        <w:tc>
          <w:tcPr>
            <w:tcW w:w="100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建筑优化设计报告</w:t>
            </w:r>
          </w:p>
        </w:tc>
        <w:tc>
          <w:tcPr>
            <w:tcW w:w="42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住宅建筑如建筑体形、楼间距、窗墙比不满足要求，或公共建筑窗墙比不低于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需提供建筑优化设计报告，包括对建筑体形、朝向、楼距、窗墙比的优化设计（包括节能设计目标、设计思路、设计效果及有关模拟分析报告，模拟报告应对模拟计算的计算模型、初始条件、计算参数、计算结果进行详细说明）</w:t>
            </w:r>
          </w:p>
        </w:tc>
        <w:tc>
          <w:tcPr>
            <w:tcW w:w="10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rFonts w:hint="eastAsia"/>
          <w:b/>
        </w:rPr>
      </w:pP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522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0" w:hRule="atLeast"/>
        </w:trPr>
        <w:tc>
          <w:tcPr>
            <w:tcW w:w="8522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5271770" cy="3315335"/>
                  <wp:effectExtent l="0" t="0" r="5080" b="1841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331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269865" cy="3274060"/>
                  <wp:effectExtent l="0" t="0" r="6985" b="2540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327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FCC6039"/>
    <w:multiLevelType w:val="multilevel"/>
    <w:tmpl w:val="2FCC603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5B4A77"/>
    <w:multiLevelType w:val="multilevel"/>
    <w:tmpl w:val="385B4A7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08093554"/>
    <w:rsid w:val="080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5">
    <w:name w:val="Body Text Indent"/>
    <w:basedOn w:val="1"/>
    <w:qFormat/>
    <w:uiPriority w:val="99"/>
    <w:pPr>
      <w:spacing w:line="400" w:lineRule="exact"/>
      <w:ind w:firstLine="480" w:firstLineChars="200"/>
    </w:pPr>
    <w:rPr>
      <w:rFonts w:ascii="微软雅黑" w:hAnsi="微软雅黑" w:eastAsia="微软雅黑"/>
      <w:kern w:val="0"/>
      <w:sz w:val="24"/>
      <w:szCs w:val="20"/>
    </w:rPr>
  </w:style>
  <w:style w:type="paragraph" w:customStyle="1" w:styleId="8">
    <w:name w:val="技术要点"/>
    <w:basedOn w:val="9"/>
    <w:qFormat/>
    <w:uiPriority w:val="99"/>
    <w:pPr>
      <w:spacing w:line="288" w:lineRule="auto"/>
      <w:ind w:left="790" w:firstLine="0" w:firstLineChars="0"/>
    </w:pPr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2023-03-06T02:32:00Z</dcterms:created>
  <dc:creator>大智</dc:creator>
  <cp:lastModifiedBy>大智</cp:lastModifiedBy>
  <dcterms:modified xsi:type="dcterms:W3CDTF">2023-03-06T02:33:00Z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E43719EA63C74B3E9E40876DA16F60C2</vt:lpwstr>
  </property>
</Properties>
</file>