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7.1.2</w:t>
      </w:r>
      <w:r>
        <w:rPr>
          <w:rFonts w:hint="eastAsia"/>
        </w:rPr>
        <w:t>应采取措施降低部分负荷、部分空间使用下的供暖、空调系统能耗，并应符合下列规定：</w:t>
      </w:r>
      <w:r>
        <w:t xml:space="preserve">1 </w:t>
      </w:r>
      <w:r>
        <w:rPr>
          <w:rFonts w:hint="eastAsia"/>
        </w:rPr>
        <w:t>应区分房间的朝向细分供暖、空调区域，并应对系统进行分区控制；</w:t>
      </w:r>
      <w:r>
        <w:t xml:space="preserve">2 </w:t>
      </w:r>
      <w:r>
        <w:rPr>
          <w:rFonts w:hint="eastAsia"/>
        </w:rPr>
        <w:t>空调冷源的部分负荷性能系数</w:t>
      </w:r>
      <w:r>
        <w:t xml:space="preserve"> (IPLV)</w:t>
      </w:r>
      <w:r>
        <w:rPr>
          <w:rFonts w:hint="eastAsia"/>
        </w:rPr>
        <w:t>、电冷源综合制冷性能系数</w:t>
      </w:r>
      <w:r>
        <w:t xml:space="preserve"> (SCOP) </w:t>
      </w:r>
      <w:r>
        <w:rPr>
          <w:rFonts w:hint="eastAsia"/>
        </w:rPr>
        <w:t>应符合现行国家标准《公共建筑节能设计标准》</w:t>
      </w:r>
      <w:r>
        <w:t xml:space="preserve"> GB 50189 </w:t>
      </w:r>
      <w:r>
        <w:rPr>
          <w:rFonts w:hint="eastAsia"/>
        </w:rPr>
        <w:t>的规定。</w:t>
      </w: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达标自评</w:t>
      </w:r>
    </w:p>
    <w:p>
      <w:pPr>
        <w:spacing w:line="288" w:lineRule="auto"/>
        <w:rPr>
          <w:bCs/>
          <w:lang w:val="zh-CN"/>
        </w:rPr>
      </w:pPr>
      <w:r>
        <w:rPr>
          <w:rFonts w:hint="eastAsia" w:ascii="宋体"/>
          <w:bCs/>
          <w:lang w:val="zh-CN"/>
        </w:rPr>
        <w:t>☑</w:t>
      </w:r>
      <w:r>
        <w:rPr>
          <w:rFonts w:hint="eastAsia"/>
          <w:lang w:val="zh-CN"/>
        </w:rPr>
        <w:t xml:space="preserve">达标 </w:t>
      </w:r>
      <w:r>
        <w:rPr>
          <w:lang w:val="zh-CN"/>
        </w:rPr>
        <w:t xml:space="preserve">   </w:t>
      </w:r>
      <w:r>
        <w:rPr>
          <w:rFonts w:hint="eastAsia"/>
          <w:lang w:val="zh-CN"/>
        </w:rPr>
        <w:t>不达标</w:t>
      </w:r>
    </w:p>
    <w:p>
      <w:pPr>
        <w:spacing w:line="288" w:lineRule="auto"/>
        <w:rPr>
          <w:b/>
          <w:bCs/>
          <w:lang w:val="zh-CN"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评价要点</w:t>
      </w:r>
    </w:p>
    <w:p>
      <w:pPr>
        <w:pStyle w:val="7"/>
        <w:numPr>
          <w:ilvl w:val="0"/>
          <w:numId w:val="2"/>
        </w:numPr>
        <w:ind w:left="632" w:leftChars="100" w:hanging="422" w:hangingChars="200"/>
        <w:rPr>
          <w:b w:val="0"/>
        </w:rPr>
      </w:pPr>
      <w:r>
        <w:rPr>
          <w:rFonts w:hint="eastAsia"/>
        </w:rPr>
        <w:t>空调系统分区：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根据建筑的功能及房间朝向细分供暖、空调区域：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系统可以实现分区控制：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sz w:val="21"/>
          <w:szCs w:val="21"/>
        </w:rPr>
      </w:pPr>
      <w:r>
        <w:rPr>
          <w:rFonts w:hint="eastAsia" w:cs="宋体"/>
          <w:sz w:val="21"/>
          <w:szCs w:val="21"/>
        </w:rPr>
        <w:t>简要说明建筑功能分区、空调系统分区情况和空调系统分区控制方式。（</w:t>
      </w:r>
      <w:r>
        <w:rPr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tbl>
      <w:tblPr>
        <w:tblStyle w:val="5"/>
        <w:tblW w:w="8336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6" w:type="dxa"/>
          </w:tcPr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在空气进风位置及送风位置分别设置温湿度仪，自动检测空气温湿度变化，并实时将数据反馈至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PLC控制器，通过计算得出初始点与目标点空气的“焓值”hm 和“含湿量”dm，通过比对判断当前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状态位于哪个控制区间，并求出△h、Δd、Δt。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1.当初始点位于1区时，此时一般是温度低、湿度小，需运行一次加热和喷淋加湿，先通过升温，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将状态点移动到等焓线上，然后通过等焓加湿，即可达到目标点，该状态基本都在冬季出现。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3.当初始点位于3区时，此时一般是温度高、湿度大，需运行表冷和二次加热，先通过降温除湿。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将状态点移动到目标点下方，然后通过二次加热回调，即可达到目标点，该状态基本都在夏季出现。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4.根据分区，温湿度控制对应也分以下三种操作模式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5.空气热湿处理各功能的控制方式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一次加热:通过△h，利用PID计算并控制一次加热燃气阀的开度;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制冷:通过Δh，利用PID计算并控制冷水阀的开度;</w:t>
            </w:r>
          </w:p>
          <w:p>
            <w:pPr>
              <w:pStyle w:val="9"/>
              <w:spacing w:line="288" w:lineRule="auto"/>
              <w:outlineLvl w:val="9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加湿:通过Δd，利用PID计算并控制加湿泵的频率;</w:t>
            </w:r>
          </w:p>
          <w:p>
            <w:pPr>
              <w:pStyle w:val="9"/>
              <w:spacing w:line="288" w:lineRule="auto"/>
              <w:outlineLvl w:val="9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二次加热:通讨At，天用PID计算并控制二次加热然气伐的开度:</w:t>
            </w:r>
          </w:p>
        </w:tc>
      </w:tr>
    </w:tbl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采用多联机：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采用分体空调：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是、□否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7"/>
        <w:numPr>
          <w:ilvl w:val="0"/>
          <w:numId w:val="2"/>
        </w:numPr>
        <w:ind w:left="632" w:leftChars="100" w:hanging="422" w:hangingChars="200"/>
        <w:rPr>
          <w:b w:val="0"/>
        </w:rPr>
      </w:pPr>
      <w:r>
        <w:rPr>
          <w:rFonts w:hint="eastAsia"/>
        </w:rPr>
        <w:t>冷热源机组配置：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空调系统计算冷负荷：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  <w:r>
        <w:rPr>
          <w:rFonts w:hint="eastAsia" w:cs="宋体"/>
          <w:sz w:val="21"/>
          <w:szCs w:val="21"/>
        </w:rPr>
        <w:t>，设计冷负荷：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空调系统计算热负荷：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  <w:r>
        <w:rPr>
          <w:rFonts w:hint="eastAsia" w:cs="宋体"/>
          <w:sz w:val="21"/>
          <w:szCs w:val="21"/>
        </w:rPr>
        <w:t>，设计热负荷：</w:t>
      </w:r>
      <w:r>
        <w:rPr>
          <w:u w:val="single"/>
          <w:lang w:val="zh-CN"/>
        </w:rPr>
        <w:t xml:space="preserve">       </w:t>
      </w:r>
      <w:r>
        <w:rPr>
          <w:rFonts w:cs="宋体"/>
          <w:sz w:val="21"/>
          <w:szCs w:val="21"/>
        </w:rPr>
        <w:t>kW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冷热源机组设备参数：</w:t>
      </w:r>
    </w:p>
    <w:tbl>
      <w:tblPr>
        <w:tblStyle w:val="5"/>
        <w:tblW w:w="8337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980"/>
        <w:gridCol w:w="603"/>
        <w:gridCol w:w="1818"/>
        <w:gridCol w:w="1818"/>
        <w:gridCol w:w="118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设备编号</w:t>
            </w:r>
          </w:p>
        </w:tc>
        <w:tc>
          <w:tcPr>
            <w:tcW w:w="980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设备类型</w:t>
            </w:r>
          </w:p>
        </w:tc>
        <w:tc>
          <w:tcPr>
            <w:tcW w:w="603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台数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额定制冷量（</w:t>
            </w:r>
            <w:r>
              <w:rPr>
                <w:kern w:val="0"/>
                <w:sz w:val="18"/>
                <w:szCs w:val="18"/>
              </w:rPr>
              <w:t>kW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额定制热量（</w:t>
            </w:r>
            <w:r>
              <w:rPr>
                <w:kern w:val="0"/>
                <w:sz w:val="18"/>
                <w:szCs w:val="18"/>
              </w:rPr>
              <w:t>kW</w:t>
            </w:r>
            <w:r>
              <w:rPr>
                <w:rFonts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部分负荷性能系数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设计值</w:t>
            </w:r>
          </w:p>
        </w:tc>
        <w:tc>
          <w:tcPr>
            <w:tcW w:w="1233" w:type="dxa"/>
            <w:vAlign w:val="center"/>
          </w:tcPr>
          <w:p>
            <w:pPr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0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03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233" w:type="dxa"/>
            <w:vAlign w:val="center"/>
          </w:tcPr>
          <w:p>
            <w:pPr>
              <w:widowControl/>
              <w:spacing w:line="288" w:lineRule="auto"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简要说明冷热源机组根据负荷变化调整制冷（热）量的控制策略。（</w:t>
      </w:r>
      <w:r>
        <w:rPr>
          <w:rFonts w:cs="宋体"/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tbl>
      <w:tblPr>
        <w:tblStyle w:val="5"/>
        <w:tblW w:w="836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68" w:type="dxa"/>
          </w:tcPr>
          <w:p>
            <w:pPr>
              <w:pStyle w:val="9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7"/>
        <w:numPr>
          <w:ilvl w:val="0"/>
          <w:numId w:val="2"/>
        </w:numPr>
        <w:ind w:left="632" w:leftChars="100" w:hanging="422" w:hangingChars="200"/>
      </w:pPr>
      <w:r>
        <w:rPr>
          <w:rFonts w:hint="eastAsia"/>
        </w:rPr>
        <w:t>变频技术：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hint="eastAsia" w:cs="宋体"/>
          <w:sz w:val="21"/>
          <w:szCs w:val="21"/>
        </w:rPr>
        <w:t>空调水系统采用变频技术：□是、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空调水系统采取相应的水力平衡措施：□是、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9"/>
        <w:spacing w:line="288" w:lineRule="auto"/>
        <w:outlineLvl w:val="9"/>
        <w:rPr>
          <w:rFonts w:cs="宋体"/>
          <w:sz w:val="21"/>
          <w:szCs w:val="21"/>
          <w:u w:val="single"/>
        </w:rPr>
      </w:pPr>
      <w:r>
        <w:rPr>
          <w:rFonts w:hint="eastAsia" w:cs="宋体"/>
          <w:sz w:val="21"/>
          <w:szCs w:val="21"/>
        </w:rPr>
        <w:t>空调风系统采用变频技术：□是、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空调风系统采取相应的水力平衡措施：□是、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采用变制冷剂流量的多联机：□是、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采用分体空调：□是、</w:t>
      </w:r>
      <w:r>
        <w:rPr>
          <w:rFonts w:hint="eastAsia" w:cs="宋体"/>
          <w:sz w:val="21"/>
          <w:szCs w:val="21"/>
          <w:lang w:eastAsia="zh-CN"/>
        </w:rPr>
        <w:t>☑</w:t>
      </w:r>
      <w:r>
        <w:rPr>
          <w:rFonts w:hint="eastAsia" w:cs="宋体"/>
          <w:sz w:val="21"/>
          <w:szCs w:val="21"/>
        </w:rPr>
        <w:t>否</w:t>
      </w: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</w:p>
    <w:p>
      <w:pPr>
        <w:pStyle w:val="9"/>
        <w:spacing w:line="288" w:lineRule="auto"/>
        <w:outlineLvl w:val="9"/>
        <w:rPr>
          <w:rFonts w:cs="宋体"/>
          <w:sz w:val="21"/>
          <w:szCs w:val="21"/>
        </w:rPr>
      </w:pPr>
      <w:r>
        <w:rPr>
          <w:rFonts w:hint="eastAsia" w:cs="宋体"/>
          <w:sz w:val="21"/>
          <w:szCs w:val="21"/>
        </w:rPr>
        <w:t>空调水系统或风系统如果采取水力平衡措施，请简要说明。（</w:t>
      </w:r>
      <w:r>
        <w:rPr>
          <w:rFonts w:cs="宋体"/>
          <w:sz w:val="21"/>
          <w:szCs w:val="21"/>
        </w:rPr>
        <w:t>100</w:t>
      </w:r>
      <w:r>
        <w:rPr>
          <w:rFonts w:hint="eastAsia" w:cs="宋体"/>
          <w:sz w:val="21"/>
          <w:szCs w:val="21"/>
        </w:rPr>
        <w:t>字以内）</w:t>
      </w:r>
    </w:p>
    <w:tbl>
      <w:tblPr>
        <w:tblStyle w:val="5"/>
        <w:tblW w:w="8368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68" w:type="dxa"/>
          </w:tcPr>
          <w:p>
            <w:pPr>
              <w:pStyle w:val="9"/>
              <w:spacing w:line="288" w:lineRule="auto"/>
              <w:outlineLvl w:val="9"/>
              <w:rPr>
                <w:sz w:val="21"/>
                <w:szCs w:val="21"/>
              </w:rPr>
            </w:pPr>
          </w:p>
        </w:tc>
      </w:tr>
    </w:tbl>
    <w:p>
      <w:pPr>
        <w:spacing w:line="288" w:lineRule="auto"/>
        <w:rPr>
          <w:b/>
          <w:bCs/>
        </w:rPr>
      </w:pPr>
    </w:p>
    <w:p>
      <w:pPr>
        <w:numPr>
          <w:ilvl w:val="0"/>
          <w:numId w:val="1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hint="eastAsia" w:cs="宋体"/>
          <w:b/>
          <w:bCs/>
          <w:sz w:val="24"/>
          <w:lang w:val="zh-CN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8320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020"/>
        <w:gridCol w:w="3855"/>
        <w:gridCol w:w="905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restart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</w:t>
            </w: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暖通设计说明</w:t>
            </w:r>
          </w:p>
        </w:tc>
        <w:tc>
          <w:tcPr>
            <w:tcW w:w="3855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应说明集中供暖空调系统的室内设计参数，包括房间内的温度、湿度、新风量等以及参照的设计标准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暖通设备表</w:t>
            </w:r>
          </w:p>
        </w:tc>
        <w:tc>
          <w:tcPr>
            <w:tcW w:w="3855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应体现空调采暖系统冷热源的设备类型、型号和容量、额定工况性能参数和能效等级（关联自评）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风系统图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水系统图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部分负荷性能系数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(LPLV)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计算书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40" w:type="dxa"/>
            <w:vMerge w:val="continue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vAlign w:val="center"/>
          </w:tcPr>
          <w:p>
            <w:pPr>
              <w:widowControl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电冷源综合制冷性能系数（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SCOP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）计算书</w:t>
            </w:r>
          </w:p>
        </w:tc>
        <w:tc>
          <w:tcPr>
            <w:tcW w:w="3855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应体现分区控制策略</w:t>
            </w:r>
          </w:p>
        </w:tc>
        <w:tc>
          <w:tcPr>
            <w:tcW w:w="90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预评价</w:t>
            </w:r>
          </w:p>
        </w:tc>
        <w:tc>
          <w:tcPr>
            <w:tcW w:w="800" w:type="dxa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公建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W w:w="8333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333" w:type="dxa"/>
          </w:tcPr>
          <w:p>
            <w:pPr>
              <w:spacing w:line="288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4F16E98"/>
    <w:multiLevelType w:val="multilevel"/>
    <w:tmpl w:val="24F16E98"/>
    <w:lvl w:ilvl="0" w:tentative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1A244F94"/>
    <w:rsid w:val="1A24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customStyle="1" w:styleId="7">
    <w:name w:val="技术要点"/>
    <w:basedOn w:val="8"/>
    <w:qFormat/>
    <w:uiPriority w:val="99"/>
    <w:pPr>
      <w:spacing w:line="288" w:lineRule="auto"/>
      <w:ind w:left="790" w:firstLine="0" w:firstLineChars="0"/>
    </w:pPr>
    <w:rPr>
      <w:b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9">
    <w:name w:val="条文"/>
    <w:basedOn w:val="1"/>
    <w:qFormat/>
    <w:uiPriority w:val="99"/>
    <w:pPr>
      <w:spacing w:line="300" w:lineRule="auto"/>
      <w:outlineLvl w:val="2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2023-03-06T02:33:00Z</dcterms:created>
  <dc:creator>大智</dc:creator>
  <cp:lastModifiedBy>大智</cp:lastModifiedBy>
  <dcterms:modified xsi:type="dcterms:W3CDTF">2023-03-06T02:33:22Z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7CAC2C00C7DE40F394A1F0DE4945A6BD</vt:lpwstr>
  </property>
</Properties>
</file>