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88" w:lineRule="auto"/>
      </w:pPr>
      <w:r>
        <w:t>7.1.7</w:t>
      </w:r>
      <w:r>
        <w:rPr>
          <w:rFonts w:hint="eastAsia"/>
        </w:rPr>
        <w:t>应制定水资源利用方案，统筹利用各种水资源，并应符合下列规定：</w:t>
      </w:r>
      <w:r>
        <w:t xml:space="preserve">1 </w:t>
      </w:r>
      <w:r>
        <w:rPr>
          <w:rFonts w:hint="eastAsia"/>
        </w:rPr>
        <w:t>应按使用用途、付费或管理单元，分别设置用水计量装置；</w:t>
      </w:r>
      <w:r>
        <w:t xml:space="preserve">2 </w:t>
      </w:r>
      <w:r>
        <w:rPr>
          <w:rFonts w:hint="eastAsia"/>
        </w:rPr>
        <w:t>用水点处水压大千</w:t>
      </w:r>
      <w:r>
        <w:t xml:space="preserve"> 0. 2MPa </w:t>
      </w:r>
      <w:r>
        <w:rPr>
          <w:rFonts w:hint="eastAsia"/>
        </w:rPr>
        <w:t>的配水支管应设置减压设施，并应满足给水配件最低工作压力的要求；</w:t>
      </w:r>
      <w:r>
        <w:t xml:space="preserve">3 </w:t>
      </w:r>
      <w:r>
        <w:rPr>
          <w:rFonts w:hint="eastAsia"/>
        </w:rPr>
        <w:t>用水器具和设备应满足节水产品的要求。</w:t>
      </w:r>
    </w:p>
    <w:p>
      <w:pPr>
        <w:numPr>
          <w:ilvl w:val="0"/>
          <w:numId w:val="1"/>
        </w:numPr>
        <w:spacing w:line="288" w:lineRule="auto"/>
        <w:rPr>
          <w:rFonts w:cs="宋体"/>
          <w:b/>
          <w:bCs/>
          <w:sz w:val="24"/>
          <w:lang w:val="zh-CN"/>
        </w:rPr>
      </w:pPr>
      <w:r>
        <w:rPr>
          <w:rFonts w:hint="eastAsia" w:cs="宋体"/>
          <w:b/>
          <w:bCs/>
          <w:sz w:val="24"/>
          <w:lang w:val="zh-CN"/>
        </w:rPr>
        <w:t>达标自评</w:t>
      </w:r>
    </w:p>
    <w:p>
      <w:pPr>
        <w:spacing w:line="288" w:lineRule="auto"/>
        <w:rPr>
          <w:lang w:val="zh-CN"/>
        </w:rPr>
      </w:pPr>
      <w:r>
        <w:rPr>
          <w:rFonts w:hint="eastAsia" w:ascii="宋体"/>
          <w:bCs/>
          <w:lang w:val="zh-CN"/>
        </w:rPr>
        <w:t>☑</w:t>
      </w:r>
      <w:r>
        <w:rPr>
          <w:rFonts w:hint="eastAsia"/>
          <w:lang w:val="zh-CN"/>
        </w:rPr>
        <w:t>达标</w:t>
      </w:r>
      <w:r>
        <w:rPr>
          <w:lang w:val="zh-CN"/>
        </w:rPr>
        <w:t xml:space="preserve">    </w:t>
      </w:r>
      <w:r>
        <w:rPr>
          <w:rFonts w:hint="eastAsia"/>
          <w:lang w:val="zh-CN"/>
        </w:rPr>
        <w:t>□不达标</w:t>
      </w:r>
    </w:p>
    <w:p>
      <w:pPr>
        <w:spacing w:line="288" w:lineRule="auto"/>
        <w:rPr>
          <w:bCs/>
          <w:lang w:val="zh-CN"/>
        </w:rPr>
      </w:pPr>
    </w:p>
    <w:p>
      <w:pPr>
        <w:numPr>
          <w:ilvl w:val="0"/>
          <w:numId w:val="1"/>
        </w:numPr>
        <w:spacing w:line="288" w:lineRule="auto"/>
        <w:rPr>
          <w:rFonts w:cs="宋体"/>
          <w:b/>
          <w:bCs/>
          <w:sz w:val="24"/>
          <w:lang w:val="zh-CN"/>
        </w:rPr>
      </w:pPr>
      <w:r>
        <w:rPr>
          <w:rFonts w:hint="eastAsia" w:cs="宋体"/>
          <w:b/>
          <w:bCs/>
          <w:sz w:val="24"/>
          <w:lang w:val="zh-CN"/>
        </w:rPr>
        <w:t>评价要点</w:t>
      </w:r>
    </w:p>
    <w:p>
      <w:pPr>
        <w:pStyle w:val="7"/>
        <w:numPr>
          <w:ilvl w:val="0"/>
          <w:numId w:val="2"/>
        </w:numPr>
        <w:spacing w:line="288" w:lineRule="auto"/>
        <w:ind w:left="632" w:leftChars="100" w:hanging="422" w:hangingChars="200"/>
        <w:rPr>
          <w:rFonts w:cs="宋体"/>
        </w:rPr>
      </w:pPr>
      <w:r>
        <w:rPr>
          <w:rFonts w:hint="eastAsia"/>
          <w:b/>
        </w:rPr>
        <w:t>水资源利用方案</w:t>
      </w:r>
    </w:p>
    <w:p>
      <w:pPr>
        <w:spacing w:line="288" w:lineRule="auto"/>
      </w:pPr>
      <w:r>
        <w:rPr>
          <w:rFonts w:hint="eastAsia"/>
        </w:rPr>
        <w:t>是否制定水资源利用方案，统筹利用各种水资源：</w:t>
      </w:r>
      <w:r>
        <w:rPr>
          <w:rFonts w:hint="eastAsia" w:cs="宋体"/>
          <w:lang w:val="zh-CN"/>
        </w:rPr>
        <w:t>☑</w:t>
      </w:r>
      <w:r>
        <w:rPr>
          <w:rFonts w:hint="eastAsia"/>
          <w:kern w:val="0"/>
        </w:rPr>
        <w:t>是</w:t>
      </w:r>
      <w:r>
        <w:rPr>
          <w:rFonts w:hint="eastAsia" w:cs="宋体"/>
          <w:lang w:val="zh-CN"/>
        </w:rPr>
        <w:t>□</w:t>
      </w:r>
      <w:r>
        <w:rPr>
          <w:rFonts w:hint="eastAsia"/>
          <w:kern w:val="0"/>
        </w:rPr>
        <w:t>否</w:t>
      </w:r>
    </w:p>
    <w:p>
      <w:pPr>
        <w:spacing w:line="288" w:lineRule="auto"/>
        <w:rPr>
          <w:u w:val="single"/>
        </w:rPr>
      </w:pPr>
      <w:r>
        <w:rPr>
          <w:rFonts w:hint="eastAsia"/>
        </w:rPr>
        <w:t>水资源利用方案内容包括：</w:t>
      </w:r>
      <w:r>
        <w:rPr>
          <w:rFonts w:hint="eastAsia" w:cs="宋体"/>
          <w:lang w:val="zh-CN"/>
        </w:rPr>
        <w:t>☑</w:t>
      </w:r>
      <w:r>
        <w:rPr>
          <w:rFonts w:hint="eastAsia"/>
        </w:rPr>
        <w:t>当地节水要求及水资源状况、</w:t>
      </w:r>
      <w:r>
        <w:rPr>
          <w:rFonts w:hint="eastAsia" w:cs="宋体"/>
          <w:lang w:val="zh-CN"/>
        </w:rPr>
        <w:t>☑</w:t>
      </w:r>
      <w:r>
        <w:rPr>
          <w:rFonts w:hint="eastAsia"/>
        </w:rPr>
        <w:t>市政设施情况、</w:t>
      </w:r>
      <w:r>
        <w:rPr>
          <w:rFonts w:hint="eastAsia" w:cs="宋体"/>
          <w:lang w:val="zh-CN"/>
        </w:rPr>
        <w:t>□</w:t>
      </w:r>
      <w:r>
        <w:rPr>
          <w:rFonts w:hint="eastAsia"/>
        </w:rPr>
        <w:t>项目概况、</w:t>
      </w:r>
      <w:r>
        <w:rPr>
          <w:rFonts w:hint="eastAsia" w:cs="宋体"/>
          <w:lang w:val="zh-CN"/>
        </w:rPr>
        <w:t>□</w:t>
      </w:r>
      <w:r>
        <w:rPr>
          <w:rFonts w:hint="eastAsia"/>
        </w:rPr>
        <w:t>用水定额的确定、</w:t>
      </w:r>
      <w:r>
        <w:rPr>
          <w:rFonts w:hint="eastAsia" w:cs="宋体"/>
          <w:lang w:val="zh-CN"/>
        </w:rPr>
        <w:t>□</w:t>
      </w:r>
      <w:r>
        <w:rPr>
          <w:rFonts w:hint="eastAsia"/>
        </w:rPr>
        <w:t>用水量估算及水量平衡、</w:t>
      </w:r>
      <w:r>
        <w:rPr>
          <w:rFonts w:hint="eastAsia" w:cs="宋体"/>
          <w:lang w:val="zh-CN"/>
        </w:rPr>
        <w:t>☑</w:t>
      </w:r>
      <w:r>
        <w:rPr>
          <w:rFonts w:hint="eastAsia"/>
        </w:rPr>
        <w:t>给排水系统设计方案、</w:t>
      </w:r>
      <w:r>
        <w:rPr>
          <w:rFonts w:hint="eastAsia" w:cs="宋体"/>
          <w:lang w:val="zh-CN"/>
        </w:rPr>
        <w:t>☑</w:t>
      </w:r>
      <w:r>
        <w:rPr>
          <w:rFonts w:hint="eastAsia"/>
        </w:rPr>
        <w:t>节水器具、</w:t>
      </w:r>
      <w:r>
        <w:rPr>
          <w:rFonts w:hint="eastAsia" w:cs="宋体"/>
          <w:lang w:val="zh-CN"/>
        </w:rPr>
        <w:t>□</w:t>
      </w:r>
      <w:r>
        <w:rPr>
          <w:rFonts w:hint="eastAsia"/>
        </w:rPr>
        <w:t>非传统水源利用、</w:t>
      </w:r>
      <w:r>
        <w:rPr>
          <w:rFonts w:hint="eastAsia" w:cs="宋体"/>
          <w:lang w:val="zh-CN"/>
        </w:rPr>
        <w:t>□</w:t>
      </w:r>
      <w:r>
        <w:rPr>
          <w:rFonts w:hint="eastAsia"/>
        </w:rPr>
        <w:t>用水分项计量、□其他</w:t>
      </w:r>
      <w:r>
        <w:rPr>
          <w:rFonts w:hint="eastAsia"/>
          <w:u w:val="single"/>
        </w:rPr>
        <w:t xml:space="preserve"> </w:t>
      </w:r>
      <w:r>
        <w:rPr>
          <w:u w:val="single"/>
        </w:rPr>
        <w:t xml:space="preserve">               </w:t>
      </w:r>
    </w:p>
    <w:p>
      <w:pPr>
        <w:spacing w:line="288" w:lineRule="auto"/>
      </w:pPr>
      <w:r>
        <w:rPr>
          <w:rFonts w:hint="eastAsia"/>
        </w:rPr>
        <w:t>简要说明水资源利用方案：（</w:t>
      </w:r>
      <w:r>
        <w:t>300</w:t>
      </w:r>
      <w:r>
        <w:rPr>
          <w:rFonts w:hint="eastAsia"/>
        </w:rPr>
        <w:t>字以内）</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8364" w:type="dxa"/>
          </w:tcPr>
          <w:p>
            <w:pPr>
              <w:spacing w:line="288" w:lineRule="auto"/>
              <w:ind w:firstLine="420" w:firstLineChars="200"/>
              <w:rPr>
                <w:szCs w:val="21"/>
              </w:rPr>
            </w:pPr>
            <w:r>
              <w:rPr>
                <w:rFonts w:hint="eastAsia"/>
                <w:lang w:val="en-US" w:eastAsia="zh-CN"/>
              </w:rPr>
              <w:t>(1)施工中采用先进的节水施工工艺。 (2)施工现场喷洒路面、绿化浇灌不宜使用市政自来水。现场搅拌用水、养护用水应采取有效的节水措施,严禁无措施浇水养护混凝土。 (3)施工现场供水管网应根据用水量设计布置,管径合理、管路简捷,采取有效措施减少管网和用水器具的漏损。 (4)现场机具、设备、车辆冲洗用水必须设立循环用水装置。施工现场办公区、生活区的生活用水采用节水系统和节水器具,提高节水器具配置比率。项目临时用水应使用节水型产品,安装计量装置,采取针对性的节水措施。 (5)施工现场建立可再利用水的收集处理系统,使水资源得到梯级循环利用。 (6)施工现场分别对生活用水与工程用水确定用水定额指标,并分别计量管理。 (7)大型工程的不同单项工程、不同标段、不同分包生活区,凡具备条件的应分别计量用水量。在签订不同标段分包或劳务合同时,将节水定额指标纳入合同条款,进行计量考核。 (8)对混凝土搅拌站点等用水集中的区域和工艺点进行专项计量考核。施工现场建立雨水、中水或可再利用水的搜集利用系统。</w:t>
            </w:r>
          </w:p>
        </w:tc>
      </w:tr>
    </w:tbl>
    <w:p>
      <w:pPr>
        <w:spacing w:line="288" w:lineRule="auto"/>
        <w:ind w:left="420"/>
        <w:rPr>
          <w:rFonts w:cs="宋体"/>
          <w:b/>
          <w:bCs/>
          <w:sz w:val="24"/>
        </w:rPr>
      </w:pPr>
    </w:p>
    <w:p>
      <w:pPr>
        <w:numPr>
          <w:ilvl w:val="0"/>
          <w:numId w:val="1"/>
        </w:numPr>
        <w:spacing w:line="288" w:lineRule="auto"/>
        <w:rPr>
          <w:rFonts w:cs="宋体"/>
          <w:b/>
          <w:bCs/>
          <w:sz w:val="24"/>
          <w:lang w:val="zh-CN"/>
        </w:rPr>
      </w:pPr>
      <w:r>
        <w:rPr>
          <w:rFonts w:hint="eastAsia" w:cs="宋体"/>
          <w:b/>
          <w:bCs/>
          <w:sz w:val="24"/>
          <w:lang w:val="zh-CN"/>
        </w:rPr>
        <w:t>证明材料</w:t>
      </w:r>
    </w:p>
    <w:tbl>
      <w:tblPr>
        <w:tblStyle w:val="5"/>
        <w:tblW w:w="83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76"/>
        <w:gridCol w:w="4625"/>
        <w:gridCol w:w="100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24" w:type="dxa"/>
            <w:shd w:val="clear" w:color="auto" w:fill="auto"/>
            <w:noWrap/>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专业分类</w:t>
            </w:r>
          </w:p>
        </w:tc>
        <w:tc>
          <w:tcPr>
            <w:tcW w:w="1176" w:type="dxa"/>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材料名称</w:t>
            </w:r>
          </w:p>
        </w:tc>
        <w:tc>
          <w:tcPr>
            <w:tcW w:w="4625" w:type="dxa"/>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技术要求</w:t>
            </w:r>
          </w:p>
        </w:tc>
        <w:tc>
          <w:tcPr>
            <w:tcW w:w="1003" w:type="dxa"/>
            <w:shd w:val="clear" w:color="auto" w:fill="auto"/>
            <w:noWrap/>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评价</w:t>
            </w:r>
          </w:p>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阶段</w:t>
            </w:r>
          </w:p>
        </w:tc>
        <w:tc>
          <w:tcPr>
            <w:tcW w:w="851" w:type="dxa"/>
            <w:shd w:val="clear" w:color="auto" w:fill="auto"/>
            <w:noWrap/>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restart"/>
            <w:noWrap/>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给排水设计</w:t>
            </w:r>
          </w:p>
        </w:tc>
        <w:tc>
          <w:tcPr>
            <w:tcW w:w="1176" w:type="dxa"/>
            <w:noWrap/>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水资源利用方案</w:t>
            </w:r>
          </w:p>
        </w:tc>
        <w:tc>
          <w:tcPr>
            <w:tcW w:w="4625"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00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预评价</w:t>
            </w:r>
          </w:p>
        </w:tc>
        <w:tc>
          <w:tcPr>
            <w:tcW w:w="851"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noWrap/>
            <w:vAlign w:val="center"/>
          </w:tcPr>
          <w:p>
            <w:pPr>
              <w:widowControl/>
              <w:jc w:val="left"/>
              <w:rPr>
                <w:rFonts w:ascii="宋体" w:cs="宋体"/>
                <w:b/>
                <w:bCs/>
                <w:color w:val="000000"/>
                <w:kern w:val="0"/>
                <w:sz w:val="22"/>
                <w:szCs w:val="22"/>
              </w:rPr>
            </w:pPr>
          </w:p>
        </w:tc>
        <w:tc>
          <w:tcPr>
            <w:tcW w:w="1176" w:type="dxa"/>
            <w:noWrap/>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水资源利用方案涉及的全套设计</w:t>
            </w:r>
            <w:r>
              <w:rPr>
                <w:rFonts w:ascii="宋体" w:hAnsi="宋体" w:cs="宋体"/>
                <w:b/>
                <w:bCs/>
                <w:color w:val="000000"/>
                <w:kern w:val="0"/>
                <w:sz w:val="22"/>
                <w:szCs w:val="22"/>
              </w:rPr>
              <w:t>/</w:t>
            </w:r>
            <w:r>
              <w:rPr>
                <w:rFonts w:hint="eastAsia" w:ascii="宋体" w:hAnsi="宋体" w:cs="宋体"/>
                <w:b/>
                <w:bCs/>
                <w:color w:val="000000"/>
                <w:kern w:val="0"/>
                <w:sz w:val="22"/>
                <w:szCs w:val="22"/>
              </w:rPr>
              <w:t>竣工图</w:t>
            </w:r>
          </w:p>
        </w:tc>
        <w:tc>
          <w:tcPr>
            <w:tcW w:w="4625"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应包括给水排设计说明、给排水系统设计图、给排水平面设计图、给排水设计详图等</w:t>
            </w:r>
          </w:p>
        </w:tc>
        <w:tc>
          <w:tcPr>
            <w:tcW w:w="100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预评价</w:t>
            </w:r>
          </w:p>
        </w:tc>
        <w:tc>
          <w:tcPr>
            <w:tcW w:w="851"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noWrap/>
            <w:vAlign w:val="center"/>
          </w:tcPr>
          <w:p>
            <w:pPr>
              <w:widowControl/>
              <w:jc w:val="left"/>
              <w:rPr>
                <w:rFonts w:ascii="宋体" w:cs="宋体"/>
                <w:b/>
                <w:bCs/>
                <w:color w:val="000000"/>
                <w:kern w:val="0"/>
                <w:sz w:val="22"/>
                <w:szCs w:val="22"/>
              </w:rPr>
            </w:pPr>
          </w:p>
        </w:tc>
        <w:tc>
          <w:tcPr>
            <w:tcW w:w="1176" w:type="dxa"/>
            <w:noWrap/>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非传统水源利用率计算书</w:t>
            </w:r>
          </w:p>
        </w:tc>
        <w:tc>
          <w:tcPr>
            <w:tcW w:w="4625"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应包括项目各用水部门设计需用水量、设计非传统水源利用量、非传统水源可利用量、非传统水源利用率计算，运行阶段还应包括设计阶段与运行阶段水资源利用差异分析说明等相关内容</w:t>
            </w:r>
          </w:p>
        </w:tc>
        <w:tc>
          <w:tcPr>
            <w:tcW w:w="1003"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预评价</w:t>
            </w:r>
          </w:p>
        </w:tc>
        <w:tc>
          <w:tcPr>
            <w:tcW w:w="851" w:type="dxa"/>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bl>
    <w:p>
      <w:pPr>
        <w:spacing w:before="156" w:beforeLines="50" w:after="156" w:afterLines="50" w:line="288" w:lineRule="auto"/>
        <w:rPr>
          <w:rFonts w:hint="eastAsia"/>
          <w:b/>
        </w:rPr>
      </w:pPr>
      <w:r>
        <w:rPr>
          <w:rFonts w:hint="eastAsia"/>
          <w:b/>
        </w:rPr>
        <w:t>实际提交材料：</w:t>
      </w:r>
    </w:p>
    <w:tbl>
      <w:tblPr>
        <w:tblStyle w:val="5"/>
        <w:tblW w:w="8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8500" w:type="dxa"/>
          </w:tcPr>
          <w:p>
            <w:pPr>
              <w:spacing w:line="288" w:lineRule="auto"/>
            </w:pPr>
            <w:r>
              <w:drawing>
                <wp:inline distT="0" distB="0" distL="114300" distR="114300">
                  <wp:extent cx="5250180" cy="1790065"/>
                  <wp:effectExtent l="0" t="0" r="7620" b="635"/>
                  <wp:docPr id="4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8"/>
                          <pic:cNvPicPr>
                            <a:picLocks noChangeAspect="1"/>
                          </pic:cNvPicPr>
                        </pic:nvPicPr>
                        <pic:blipFill>
                          <a:blip r:embed="rId4"/>
                          <a:stretch>
                            <a:fillRect/>
                          </a:stretch>
                        </pic:blipFill>
                        <pic:spPr>
                          <a:xfrm>
                            <a:off x="0" y="0"/>
                            <a:ext cx="5250180" cy="1790065"/>
                          </a:xfrm>
                          <a:prstGeom prst="rect">
                            <a:avLst/>
                          </a:prstGeom>
                          <a:noFill/>
                          <a:ln>
                            <a:noFill/>
                          </a:ln>
                        </pic:spPr>
                      </pic:pic>
                    </a:graphicData>
                  </a:graphic>
                </wp:inline>
              </w:drawing>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1E460A"/>
    <w:multiLevelType w:val="multilevel"/>
    <w:tmpl w:val="4D1E46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D566D2E"/>
    <w:multiLevelType w:val="multilevel"/>
    <w:tmpl w:val="5D566D2E"/>
    <w:lvl w:ilvl="0" w:tentative="0">
      <w:start w:val="1"/>
      <w:numFmt w:val="decimal"/>
      <w:lvlText w:val="%1、"/>
      <w:lvlJc w:val="left"/>
      <w:pPr>
        <w:tabs>
          <w:tab w:val="left" w:pos="420"/>
        </w:tabs>
        <w:ind w:left="420" w:hanging="420"/>
      </w:pPr>
      <w:rPr>
        <w:rFonts w:hint="eastAsia" w:cs="Times New Roman"/>
        <w:b/>
        <w:bC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YTdmYzhjODUwOGE5NDFlNjllN2UwOTYwMTM1MjgifQ=="/>
  </w:docVars>
  <w:rsids>
    <w:rsidRoot w:val="404D12C9"/>
    <w:rsid w:val="404D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napToGrid w:val="0"/>
      <w:spacing w:before="120" w:after="120"/>
      <w:jc w:val="left"/>
      <w:outlineLvl w:val="1"/>
    </w:pPr>
    <w:rPr>
      <w:rFonts w:ascii="黑体" w:hAnsi="黑体" w:eastAsia="黑体"/>
      <w:b/>
      <w:bCs/>
      <w:kern w:val="0"/>
      <w:sz w:val="24"/>
      <w:szCs w:val="32"/>
    </w:rPr>
  </w:style>
  <w:style w:type="paragraph" w:styleId="3">
    <w:name w:val="heading 3"/>
    <w:basedOn w:val="2"/>
    <w:next w:val="4"/>
    <w:qFormat/>
    <w:uiPriority w:val="99"/>
    <w:pPr>
      <w:outlineLvl w:val="2"/>
    </w:p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7">
    <w:name w:val="List Paragraph"/>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2023-03-06T02:34:00Z</dcterms:created>
  <dc:creator>大智</dc:creator>
  <cp:lastModifiedBy>大智</cp:lastModifiedBy>
  <dcterms:modified xsi:type="dcterms:W3CDTF">2023-03-06T02:35:01Z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AE2D4C57CFAD4C8C9A12455C661FA405</vt:lpwstr>
  </property>
</Properties>
</file>