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4.1.4</w:t>
      </w:r>
      <w:r>
        <w:rPr>
          <w:rFonts w:hint="eastAsia" w:eastAsiaTheme="minorEastAsia"/>
          <w:sz w:val="24"/>
          <w:szCs w:val="40"/>
        </w:rPr>
        <w:t xml:space="preserve"> </w:t>
      </w:r>
      <w:r>
        <w:rPr>
          <w:rFonts w:eastAsiaTheme="minorEastAsia"/>
          <w:sz w:val="24"/>
          <w:szCs w:val="40"/>
        </w:rPr>
        <w:t>建筑内部的非结构件、设备及附属设施等应连接牢固并能适应主体结构变形。</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4698591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请对建筑内部的非结构件、设备及附属设施等的连接</w:t>
      </w:r>
      <w:r>
        <w:rPr>
          <w:rFonts w:hint="eastAsia" w:ascii="Times New Roman" w:hAnsi="Times New Roman" w:eastAsia="宋体" w:cs="Times New Roman"/>
          <w:szCs w:val="21"/>
        </w:rPr>
        <w:t>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r>
              <w:rPr>
                <w:rFonts w:ascii="Times New Roman" w:hAnsi="Times New Roman" w:cs="Times New Roman"/>
                <w:sz w:val="20"/>
                <w:szCs w:val="20"/>
              </w:rPr>
              <w:t>建筑内部非结构构件、设备及附属设施满足建筑使用的安全性。门窗、防护栏杆等安装牢固；装饰构件之间以及装饰构件与建筑墙体、楼板等构件之间，建筑部品、非结构构件及附属设备等与建筑主体结构之间可靠连接并能适应主体结构变形。​</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建筑、结构</w:t>
      </w:r>
      <w:r>
        <w:rPr>
          <w:rFonts w:hint="eastAsia" w:ascii="Times New Roman" w:hAnsi="Times New Roman" w:eastAsia="宋体" w:cs="Times New Roman"/>
          <w:szCs w:val="21"/>
        </w:rPr>
        <w:t>竣工</w:t>
      </w:r>
      <w:r>
        <w:rPr>
          <w:rFonts w:ascii="Times New Roman" w:hAnsi="Times New Roman" w:eastAsia="宋体" w:cs="Times New Roman"/>
          <w:szCs w:val="21"/>
        </w:rPr>
        <w:t>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hint="eastAsia" w:ascii="Times New Roman" w:hAnsi="Times New Roman" w:eastAsia="宋体" w:cs="Times New Roman"/>
          <w:szCs w:val="21"/>
        </w:rPr>
        <w:t>2）关键构件计算书；</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hint="eastAsia" w:ascii="Times New Roman" w:hAnsi="Times New Roman" w:eastAsia="宋体" w:cs="Times New Roman"/>
          <w:szCs w:val="21"/>
        </w:rPr>
        <w:t>4）建筑的维修与管理记录。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GI0Y2YwMjAwZjk4MThkN2YwZDg1NTQzZjE2OGEifQ=="/>
  </w:docVars>
  <w:rsids>
    <w:rsidRoot w:val="00CA5A36"/>
    <w:rsid w:val="00026340"/>
    <w:rsid w:val="00074A38"/>
    <w:rsid w:val="00141669"/>
    <w:rsid w:val="005157A0"/>
    <w:rsid w:val="008D61F7"/>
    <w:rsid w:val="00A066ED"/>
    <w:rsid w:val="00CA5A36"/>
    <w:rsid w:val="00F80237"/>
    <w:rsid w:val="5911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157</Characters>
  <Lines>1</Lines>
  <Paragraphs>1</Paragraphs>
  <TotalTime>0</TotalTime>
  <ScaleCrop>false</ScaleCrop>
  <LinksUpToDate>false</LinksUpToDate>
  <CharactersWithSpaces>161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2019-07-12T07:39:00Z</dcterms:created>
  <dc:creator>dongYP</dc:creator>
  <cp:lastModifiedBy>Dark Knight</cp:lastModifiedBy>
  <dcterms:modified xsi:type="dcterms:W3CDTF">2023-03-05T15:53:25Z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29AA5E7A8C2541FF87EF20D5A517DBCB</vt:lpwstr>
  </property>
</Properties>
</file>