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B015" w14:textId="77777777"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09030F64" w14:textId="77777777"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14:paraId="12AB1D3F" w14:textId="77777777" w:rsidTr="007A7BF2">
        <w:trPr>
          <w:jc w:val="center"/>
        </w:trPr>
        <w:tc>
          <w:tcPr>
            <w:tcW w:w="709" w:type="dxa"/>
            <w:vAlign w:val="center"/>
          </w:tcPr>
          <w:p w14:paraId="5572292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17A25F85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4B371F52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1CB97AD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14:paraId="0AD887AD" w14:textId="77777777" w:rsidTr="007A7BF2">
        <w:trPr>
          <w:trHeight w:val="749"/>
          <w:jc w:val="center"/>
        </w:trPr>
        <w:tc>
          <w:tcPr>
            <w:tcW w:w="709" w:type="dxa"/>
            <w:vAlign w:val="center"/>
          </w:tcPr>
          <w:p w14:paraId="498DACC3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5B299B7E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371C8B">
              <w:rPr>
                <w:rFonts w:ascii="Times New Roman" w:hAnsi="Times New Roman" w:cs="Times New Roman"/>
                <w:szCs w:val="21"/>
              </w:rPr>
              <w:t>300lx</w:t>
            </w:r>
            <w:r w:rsidRPr="00371C8B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14:paraId="663F04C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1AA6C4CC" w14:textId="77777777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33EBE515" w14:textId="77777777" w:rsidTr="007A7BF2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14:paraId="2FD9A8D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4C2F8517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5611B1A6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371C8B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371C8B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14:paraId="7FD91587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61BCF48" w14:textId="1687C1BE" w:rsidR="00475088" w:rsidRPr="00371C8B" w:rsidRDefault="005A04E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298EA464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7BC02DFE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16B16189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2DF78CC7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371C8B">
              <w:rPr>
                <w:rFonts w:ascii="Times New Roman" w:hAnsi="Times New Roman" w:cs="Times New Roman"/>
                <w:szCs w:val="21"/>
              </w:rPr>
              <w:t>≥0.5%</w:t>
            </w:r>
            <w:r w:rsidRPr="00371C8B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371C8B">
              <w:rPr>
                <w:rFonts w:ascii="Times New Roman" w:hAnsi="Times New Roman" w:cs="Times New Roman"/>
                <w:szCs w:val="21"/>
              </w:rPr>
              <w:t>10%</w:t>
            </w:r>
            <w:r w:rsidRPr="00371C8B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14:paraId="0CE0772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1A46CF62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518F4DB3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6045563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5F0A27B1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23A1A0B9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14:paraId="0A9F9082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267780A7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49C967F3" w14:textId="77777777" w:rsidTr="007A7BF2">
        <w:trPr>
          <w:jc w:val="center"/>
        </w:trPr>
        <w:tc>
          <w:tcPr>
            <w:tcW w:w="709" w:type="dxa"/>
            <w:vAlign w:val="center"/>
          </w:tcPr>
          <w:p w14:paraId="01A4AD5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259B7A64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58B30B3F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98" w:type="dxa"/>
                <w:vAlign w:val="center"/>
              </w:tcPr>
              <w:p w14:paraId="67C348B6" w14:textId="71205543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A04EF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75088" w:rsidRPr="00371C8B" w14:paraId="5902DB47" w14:textId="77777777" w:rsidTr="007A7BF2">
        <w:trPr>
          <w:jc w:val="center"/>
        </w:trPr>
        <w:tc>
          <w:tcPr>
            <w:tcW w:w="709" w:type="dxa"/>
            <w:gridSpan w:val="3"/>
            <w:vAlign w:val="center"/>
          </w:tcPr>
          <w:p w14:paraId="4EA5BC7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473B8C8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14:paraId="528BD1F7" w14:textId="0073D0DF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A04EF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DA317DF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4D7A120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0C44919C" w14:textId="77777777" w:rsidTr="0018471E">
        <w:trPr>
          <w:trHeight w:val="2634"/>
          <w:jc w:val="center"/>
        </w:trPr>
        <w:tc>
          <w:tcPr>
            <w:tcW w:w="9356" w:type="dxa"/>
          </w:tcPr>
          <w:p w14:paraId="6F4D1DAB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本项目主要功能房间采用下列措施控制不舒适眩光：</w:t>
            </w:r>
          </w:p>
          <w:p w14:paraId="7C78092D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1</w:t>
            </w:r>
            <w:r w:rsidRPr="00783366">
              <w:rPr>
                <w:rFonts w:hint="eastAsia"/>
                <w:szCs w:val="21"/>
              </w:rPr>
              <w:t>、作业区域避免直射阳光。</w:t>
            </w:r>
          </w:p>
          <w:p w14:paraId="2404FE75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2</w:t>
            </w:r>
            <w:r w:rsidRPr="00783366">
              <w:rPr>
                <w:rFonts w:hint="eastAsia"/>
                <w:szCs w:val="21"/>
              </w:rPr>
              <w:t>、室内人员的视觉背景不为窗口。</w:t>
            </w:r>
          </w:p>
          <w:p w14:paraId="6EA292C3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3</w:t>
            </w:r>
            <w:r w:rsidRPr="00783366">
              <w:rPr>
                <w:rFonts w:hint="eastAsia"/>
                <w:szCs w:val="21"/>
              </w:rPr>
              <w:t>、采用室内遮挡措施。</w:t>
            </w:r>
          </w:p>
          <w:p w14:paraId="6DE52EE2" w14:textId="77777777" w:rsidR="00475088" w:rsidRPr="009A477F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4</w:t>
            </w:r>
            <w:r w:rsidRPr="00783366">
              <w:rPr>
                <w:rFonts w:hint="eastAsia"/>
                <w:szCs w:val="21"/>
              </w:rPr>
              <w:t>、窗结构的内表面或窗周围的内墙面采用浅色饰面。</w:t>
            </w:r>
          </w:p>
        </w:tc>
      </w:tr>
    </w:tbl>
    <w:p w14:paraId="3D92CABD" w14:textId="77777777"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14:paraId="300A527D" w14:textId="77777777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3788FEC" w14:textId="77777777"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033633B8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516ACB4C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14:paraId="0905F7F5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45063836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14:paraId="1AA75107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1FDC321E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14:paraId="5D7B61B1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15FB75D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14:paraId="24492575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170B47E0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Content>
            <w:tc>
              <w:tcPr>
                <w:tcW w:w="1262" w:type="dxa"/>
              </w:tcPr>
              <w:p w14:paraId="26D1144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Content>
            <w:tc>
              <w:tcPr>
                <w:tcW w:w="2268" w:type="dxa"/>
              </w:tcPr>
              <w:p w14:paraId="3E03883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Content>
            <w:tc>
              <w:tcPr>
                <w:tcW w:w="1860" w:type="dxa"/>
              </w:tcPr>
              <w:p w14:paraId="288E589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Content>
            <w:tc>
              <w:tcPr>
                <w:tcW w:w="1986" w:type="dxa"/>
              </w:tcPr>
              <w:p w14:paraId="77E956D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Content>
            <w:tc>
              <w:tcPr>
                <w:tcW w:w="1357" w:type="dxa"/>
              </w:tcPr>
              <w:p w14:paraId="4DB4987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67153E95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252EBD64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Content>
            <w:tc>
              <w:tcPr>
                <w:tcW w:w="1262" w:type="dxa"/>
              </w:tcPr>
              <w:p w14:paraId="0D246E8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Content>
            <w:tc>
              <w:tcPr>
                <w:tcW w:w="2268" w:type="dxa"/>
              </w:tcPr>
              <w:p w14:paraId="49B1430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Content>
            <w:tc>
              <w:tcPr>
                <w:tcW w:w="1860" w:type="dxa"/>
              </w:tcPr>
              <w:p w14:paraId="306450E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Content>
            <w:tc>
              <w:tcPr>
                <w:tcW w:w="1986" w:type="dxa"/>
                <w:vAlign w:val="center"/>
              </w:tcPr>
              <w:p w14:paraId="1380C26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Content>
            <w:tc>
              <w:tcPr>
                <w:tcW w:w="1357" w:type="dxa"/>
              </w:tcPr>
              <w:p w14:paraId="4DAFA9E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0A9836A7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350EC128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Content>
            <w:tc>
              <w:tcPr>
                <w:tcW w:w="1262" w:type="dxa"/>
              </w:tcPr>
              <w:p w14:paraId="1214EC0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Content>
            <w:tc>
              <w:tcPr>
                <w:tcW w:w="2268" w:type="dxa"/>
              </w:tcPr>
              <w:p w14:paraId="47AEBF5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Content>
            <w:tc>
              <w:tcPr>
                <w:tcW w:w="1860" w:type="dxa"/>
              </w:tcPr>
              <w:p w14:paraId="15EFA32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Content>
            <w:tc>
              <w:tcPr>
                <w:tcW w:w="1986" w:type="dxa"/>
              </w:tcPr>
              <w:p w14:paraId="2552151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Content>
            <w:tc>
              <w:tcPr>
                <w:tcW w:w="1357" w:type="dxa"/>
              </w:tcPr>
              <w:p w14:paraId="5900B12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38727A31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0C755B38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0D392FD0" w14:textId="77777777"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Content>
            <w:tc>
              <w:tcPr>
                <w:tcW w:w="2268" w:type="dxa"/>
              </w:tcPr>
              <w:p w14:paraId="65EC087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Content>
            <w:tc>
              <w:tcPr>
                <w:tcW w:w="1860" w:type="dxa"/>
              </w:tcPr>
              <w:p w14:paraId="2B0CB4A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Content>
            <w:tc>
              <w:tcPr>
                <w:tcW w:w="1986" w:type="dxa"/>
              </w:tcPr>
              <w:p w14:paraId="217AA60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Content>
            <w:tc>
              <w:tcPr>
                <w:tcW w:w="1357" w:type="dxa"/>
              </w:tcPr>
              <w:p w14:paraId="7940726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6DE89A9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1AC68571" w14:textId="77777777"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4CF9F925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2CD7EA04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723972AB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0F0F472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:rsidR="00475088" w:rsidRPr="009A5F2B" w14:paraId="419925D3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325406D7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Content>
            <w:tc>
              <w:tcPr>
                <w:tcW w:w="1262" w:type="dxa"/>
              </w:tcPr>
              <w:p w14:paraId="5C9735E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2FFBC9E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Content>
            <w:tc>
              <w:tcPr>
                <w:tcW w:w="1986" w:type="dxa"/>
              </w:tcPr>
              <w:p w14:paraId="697DFE8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Content>
            <w:tc>
              <w:tcPr>
                <w:tcW w:w="1357" w:type="dxa"/>
              </w:tcPr>
              <w:p w14:paraId="219A902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92EA445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2B4CDA95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Content>
            <w:tc>
              <w:tcPr>
                <w:tcW w:w="1262" w:type="dxa"/>
              </w:tcPr>
              <w:p w14:paraId="3E6A522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0FDF969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Content>
            <w:tc>
              <w:tcPr>
                <w:tcW w:w="1986" w:type="dxa"/>
              </w:tcPr>
              <w:p w14:paraId="0F9FE2B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Content>
            <w:tc>
              <w:tcPr>
                <w:tcW w:w="1357" w:type="dxa"/>
              </w:tcPr>
              <w:p w14:paraId="03C9362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090166A2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6D60D6D0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Content>
            <w:tc>
              <w:tcPr>
                <w:tcW w:w="1262" w:type="dxa"/>
              </w:tcPr>
              <w:p w14:paraId="371DCB0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0D034AF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Content>
            <w:tc>
              <w:tcPr>
                <w:tcW w:w="1986" w:type="dxa"/>
              </w:tcPr>
              <w:p w14:paraId="5260147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Content>
            <w:tc>
              <w:tcPr>
                <w:tcW w:w="1357" w:type="dxa"/>
              </w:tcPr>
              <w:p w14:paraId="4AFDE32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20CC7830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15CAFF30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27AC9FF8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2481A42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Content>
            <w:tc>
              <w:tcPr>
                <w:tcW w:w="1986" w:type="dxa"/>
              </w:tcPr>
              <w:p w14:paraId="1C83CC8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Content>
            <w:tc>
              <w:tcPr>
                <w:tcW w:w="1357" w:type="dxa"/>
              </w:tcPr>
              <w:p w14:paraId="0749444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07BCC2CA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5F2B859A" w14:textId="77777777"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lastRenderedPageBreak/>
              <w:t>主要功能空间</w:t>
            </w:r>
          </w:p>
        </w:tc>
        <w:tc>
          <w:tcPr>
            <w:tcW w:w="1262" w:type="dxa"/>
            <w:vAlign w:val="center"/>
          </w:tcPr>
          <w:p w14:paraId="23B15FAE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66B05DEA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</w:t>
            </w:r>
            <w:r w:rsidRPr="00575C84">
              <w:rPr>
                <w:rFonts w:hint="eastAsia"/>
              </w:rPr>
              <w:lastRenderedPageBreak/>
              <w:t>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170FD3B2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lastRenderedPageBreak/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lastRenderedPageBreak/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5539068A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达标比例</w:t>
            </w:r>
          </w:p>
        </w:tc>
      </w:tr>
      <w:tr w:rsidR="00475088" w:rsidRPr="009A5F2B" w14:paraId="6E5477F9" w14:textId="77777777" w:rsidTr="00732F8B">
        <w:trPr>
          <w:trHeight w:val="70"/>
          <w:jc w:val="center"/>
        </w:trPr>
        <w:tc>
          <w:tcPr>
            <w:tcW w:w="716" w:type="dxa"/>
            <w:vMerge/>
          </w:tcPr>
          <w:p w14:paraId="6F896D03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Content>
            <w:tc>
              <w:tcPr>
                <w:tcW w:w="1262" w:type="dxa"/>
              </w:tcPr>
              <w:p w14:paraId="0627FDAF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473BE42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Content>
            <w:tc>
              <w:tcPr>
                <w:tcW w:w="1986" w:type="dxa"/>
              </w:tcPr>
              <w:p w14:paraId="5FABEA1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Content>
            <w:tc>
              <w:tcPr>
                <w:tcW w:w="1357" w:type="dxa"/>
              </w:tcPr>
              <w:p w14:paraId="613FF98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7AC791C4" w14:textId="77777777" w:rsidTr="00732F8B">
        <w:trPr>
          <w:trHeight w:val="284"/>
          <w:jc w:val="center"/>
        </w:trPr>
        <w:tc>
          <w:tcPr>
            <w:tcW w:w="716" w:type="dxa"/>
            <w:vMerge/>
          </w:tcPr>
          <w:p w14:paraId="398B73AF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Content>
            <w:tc>
              <w:tcPr>
                <w:tcW w:w="1262" w:type="dxa"/>
              </w:tcPr>
              <w:p w14:paraId="35E1CD87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32967C6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Content>
            <w:tc>
              <w:tcPr>
                <w:tcW w:w="1986" w:type="dxa"/>
              </w:tcPr>
              <w:p w14:paraId="523026E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Content>
            <w:tc>
              <w:tcPr>
                <w:tcW w:w="1357" w:type="dxa"/>
              </w:tcPr>
              <w:p w14:paraId="1C516CC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5300D3B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F78622F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85B5F12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245AFFA5" w14:textId="77777777"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20E2911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14:paraId="044A6000" w14:textId="77777777" w:rsidR="00475088" w:rsidRPr="003167C0" w:rsidRDefault="00475088" w:rsidP="00475088"/>
    <w:p w14:paraId="345185EA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15FF8B75" w14:textId="77777777" w:rsidTr="0018471E">
        <w:trPr>
          <w:trHeight w:val="2634"/>
          <w:jc w:val="center"/>
        </w:trPr>
        <w:tc>
          <w:tcPr>
            <w:tcW w:w="9356" w:type="dxa"/>
          </w:tcPr>
          <w:p w14:paraId="368B3867" w14:textId="77777777" w:rsidR="00475088" w:rsidRPr="00547320" w:rsidRDefault="00475088" w:rsidP="005A4BEF">
            <w:pPr>
              <w:rPr>
                <w:szCs w:val="21"/>
              </w:rPr>
            </w:pPr>
          </w:p>
        </w:tc>
      </w:tr>
    </w:tbl>
    <w:p w14:paraId="0795B84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005D" w14:textId="77777777" w:rsidR="00E7252F" w:rsidRDefault="00E7252F" w:rsidP="00475088">
      <w:r>
        <w:separator/>
      </w:r>
    </w:p>
  </w:endnote>
  <w:endnote w:type="continuationSeparator" w:id="0">
    <w:p w14:paraId="0D56D819" w14:textId="77777777" w:rsidR="00E7252F" w:rsidRDefault="00E7252F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3B2A" w14:textId="77777777" w:rsidR="00E7252F" w:rsidRDefault="00E7252F" w:rsidP="00475088">
      <w:r>
        <w:separator/>
      </w:r>
    </w:p>
  </w:footnote>
  <w:footnote w:type="continuationSeparator" w:id="0">
    <w:p w14:paraId="39FC03E3" w14:textId="77777777" w:rsidR="00E7252F" w:rsidRDefault="00E7252F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5A04EF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E7252F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A99C8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61514A" w:rsidRDefault="00520B3A" w:rsidP="00520B3A">
          <w:pPr>
            <w:pStyle w:val="B7BAAC0FA66E4822A2CFB7458F2176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AC2263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10</cp:revision>
  <dcterms:created xsi:type="dcterms:W3CDTF">2019-07-12T07:53:00Z</dcterms:created>
  <dcterms:modified xsi:type="dcterms:W3CDTF">2023-03-05T16:11:00Z</dcterms:modified>
</cp:coreProperties>
</file>