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8.1.5 建筑内外均应设置便于识别和使用的标识系统。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标识系统是否具备如下特点：</w:t>
      </w:r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同一种类型标识信息区分信息的重要程度，在统一版面布置；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不同类型标识信息版面单独设置；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有无障碍设施空间环境中，设置有无障碍信息；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导向标识信息系统应具有便于及时更新与扩充内容的可调整性。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建筑内外参照《公共建筑标识系统技术规范》GB/T51223，设置便于识别和使用的标识系统。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）竣工总平面图；</w:t>
      </w:r>
    </w:p>
    <w:p>
      <w:r>
        <w:rPr>
          <w:rFonts w:hint="eastAsia"/>
        </w:rPr>
        <w:t>2）标识系统设计文件。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0YjQwNjFkYzlkYzI1MGE1MzFmM2ZkNjhmNjE1NGMifQ=="/>
  </w:docVars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0F5C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225</Characters>
  <Lines>2</Lines>
  <Paragraphs>1</Paragraphs>
  <TotalTime>0</TotalTime>
  <ScaleCrop>false</ScaleCrop>
  <LinksUpToDate>false</LinksUpToDate>
  <CharactersWithSpaces>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橙子</cp:lastModifiedBy>
  <dcterms:modified xsi:type="dcterms:W3CDTF">2023-03-05T16:04:50Z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027A41030990414AA27B25138AACFE7D</vt:lpwstr>
  </property>
</Properties>
</file>