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240" w:afterAutospacing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until moon 2023/2/24 15:51:46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对方已成功接收了你发送的离线文件“能耗计算.zip”(9.69MB)。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建筑191陶焕昌 2023/2/24 17:56:36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能耗文件有改吗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until moon 2023/2/24 18:05:18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没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until moon 2023/2/28 23:15:57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until moon 2023/2/28 23:15:57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until moon 2023/2/28 23:15:57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对方已成功接收了你发送的离线文件“复习总填空.docx”(15.08KB)。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对方已成功接收了你发送的离线文件“复习总单选.docx”(36.66KB)。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对方已成功接收了你发送的离线文件“复习总多选题.docx”(26.90KB)。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until moon 9:57:52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until moon 9:57:57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until moon 9:58:03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对方已成功接收了你发送的离线文件“防潮.pdf”(307.27KB)。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对方已成功接收了你发送的离线文件“隔热.pdf”(1.38MB)。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对方已成功接收了你发送的离线文件“结露.pdf”(418.39KB)。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until moon 10:20:06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对方已成功接收了你发送的离线文件“遮阳.pdf”(255.67KB)。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until moon 11:14:47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对方已成功接收了你发送的离线文件“QQ截图20230301111428.jpg”(25.90KB)。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until moon 19:52:19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对方已成功接收了你发送的离线文件“_H~1T3)22%()VJHKJC_TI]C.jpg”(147.20KB)。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建筑191陶焕昌 19:53:31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建筑191陶焕昌 19:56:06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项目名称：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对标条文：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6.1.2 场地人行出入口500m内应设有公共交通站点或配备联系公共交通站点的专用接驳车。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6.2.1 场地与公共交通站点联系便捷，评价总分值为8分，并按下列规则分别评分并累计：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 场地出入口到达公共交通站点的步行距离不超过500m，或到达轨道交通站的步行距离不大于800m，得2分；场地出入口到达公共交通站点的步行距离不超过300m，或到达轨道交通站的步行距离不大于500m，得4分；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 场地出入口步行距离800m范围内设有不少于2条线路的公共交通站点，得4分。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6.2.3 提供便利的公共服务，评价总分值为10分，并按下列规则评分：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 住宅建筑，满足下列要求中4项，得5分；满足6项及以上，得10分。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1) 场地出入口到达幼儿园的步行距离不大于300m；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2) 场地出入口到达小学的步行距离不大于500m；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3) 场地出入口到达中学的步行距离不大于1000m；</w:t>
      </w:r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spacing w:after="240" w:afterAutospacing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4) 场地出入口到达医院的步行距离不大于1000m；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5) 场地出入口到达群众文化活动设施的步行距离不大于800m；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6) 场地出入口到达老年人日间照料设施的步行距离不大于500m；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7) 场地周边500m范围内具有不少于3种商业服务设施。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 公共建筑满足下列要求中的3项，得5分；满足5项，得10分。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1) 建筑内至少兼容2种面向社会的公共服务功能；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2) 建筑向社会公众提供开放的公共活动空间；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3) 电动汽车充电桩的车位数占总车位数的比例不低于10%;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4) 周边500m 范围内设有社会公共停车场（库）；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5) 场地不封闭或场地内步行公共通道向社会开放。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6.2.4 城市绿地、广场及公共运动场地等开敞空间，步行可达，评价总分值为5分，并按下列规则分别评分并累计：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1 场地出入口到达居住区公园或城市公园绿地、广场的步行距离不大于300m，得3分；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2 到达中型多功能运动场地的步行距离不大于500m，得2分。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工程概况：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项目位于 路。该项目总用地面积为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8939</w:t>
      </w:r>
      <w:r>
        <w:rPr>
          <w:rFonts w:ascii="宋体" w:hAnsi="宋体" w:eastAsia="宋体" w:cs="宋体"/>
          <w:sz w:val="24"/>
          <w:szCs w:val="24"/>
        </w:rPr>
        <w:t>平方米，建筑面积</w:t>
      </w: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11954平</w:t>
      </w:r>
      <w:r>
        <w:rPr>
          <w:rFonts w:ascii="宋体" w:hAnsi="宋体" w:eastAsia="宋体" w:cs="宋体"/>
          <w:sz w:val="24"/>
          <w:szCs w:val="24"/>
        </w:rPr>
        <w:t>方米，地上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ascii="宋体" w:hAnsi="宋体" w:eastAsia="宋体" w:cs="宋体"/>
          <w:sz w:val="24"/>
          <w:szCs w:val="24"/>
        </w:rPr>
        <w:t>层，地上面积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11954</w:t>
      </w:r>
      <w:r>
        <w:rPr>
          <w:rFonts w:ascii="宋体" w:hAnsi="宋体" w:eastAsia="宋体" w:cs="宋体"/>
          <w:sz w:val="24"/>
          <w:szCs w:val="24"/>
        </w:rPr>
        <w:t>平米，地下面积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0</w:t>
      </w:r>
      <w:r>
        <w:rPr>
          <w:rFonts w:ascii="宋体" w:hAnsi="宋体" w:eastAsia="宋体" w:cs="宋体"/>
          <w:sz w:val="24"/>
          <w:szCs w:val="24"/>
        </w:rPr>
        <w:t>平米。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公共交通站点距离：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站点1：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453.1</w:t>
      </w:r>
      <w:r>
        <w:rPr>
          <w:rFonts w:ascii="宋体" w:hAnsi="宋体" w:eastAsia="宋体" w:cs="宋体"/>
          <w:sz w:val="24"/>
          <w:szCs w:val="24"/>
        </w:rPr>
        <w:t>米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br w:type="textWrapping"/>
      </w:r>
    </w:p>
    <w:p>
      <w:pPr>
        <w:spacing w:after="240" w:afterAutospacing="0"/>
        <w:rPr>
          <w:rFonts w:ascii="宋体" w:hAnsi="宋体" w:eastAsia="宋体" w:cs="宋体"/>
          <w:sz w:val="24"/>
          <w:szCs w:val="24"/>
        </w:rPr>
      </w:pPr>
    </w:p>
    <w:p>
      <w:pPr>
        <w:spacing w:after="240" w:afterAutospacing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-220980</wp:posOffset>
            </wp:positionH>
            <wp:positionV relativeFrom="paragraph">
              <wp:posOffset>93345</wp:posOffset>
            </wp:positionV>
            <wp:extent cx="5723890" cy="2847340"/>
            <wp:effectExtent l="0" t="0" r="6350" b="2540"/>
            <wp:wrapNone/>
            <wp:docPr id="2" name="图片 2" descr="QQ截图202303011958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QQ截图2023030119580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3890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TJmZTRiN2Y1MDYxYjk3MGUwODQ4M2YxNjA4OTcifQ=="/>
  </w:docVars>
  <w:rsids>
    <w:rsidRoot w:val="2E2A143C"/>
    <w:rsid w:val="2E2A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784</Words>
  <Characters>868</Characters>
  <Lines>0</Lines>
  <Paragraphs>0</Paragraphs>
  <TotalTime>3</TotalTime>
  <ScaleCrop>false</ScaleCrop>
  <LinksUpToDate>false</LinksUpToDate>
  <CharactersWithSpaces>902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2023-03-01T11:59:00Z</dcterms:created>
  <dc:creator>谢谢你，赠我空欢喜</dc:creator>
  <cp:lastModifiedBy>谢谢你，赠我空欢喜</cp:lastModifiedBy>
  <dcterms:modified xsi:type="dcterms:W3CDTF">2023-03-01T12:06:17Z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7E871395B78749BF8BD3E1B2EE92B4B2</vt:lpwstr>
  </property>
</Properties>
</file>