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2、设计内容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本工程设有生活给水系统、生活污水系统、雨水排水系统及建筑灭火器配置。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(1)生活给水系统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室内生活给水从室外给水管网引入。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(2）生活污水系统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1)本工程污、废水采用合流制。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2）生活污水排入厂区排水系统，经化粪池处理后接入市政污水管网。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(3)雨水系统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1)仓库屋面雨水排水采用建筑的排水，排水方式采用重力流，雨水斗采用87型。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2)屋面雨水排水设计重视期P=5年,设计暴雨降雨强度q=4.51L/( s.100mZ )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(4）消防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1)仓库生产类别属戊类，建筑耐火等级为二级，按《建筑设计防火规范》GB50016-2006室内不设消防栓系统。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2）室外消防水量为20L/s。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(5）建筑灭火器: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1)）室内按国家标准《建筑灭火器配置设计规范》GB54140-2005配备手提式灭火器消防。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2)在仓库每个点配置2具 MF/ABC4手提式磷酸铵盐干粉灭火器消防。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施工说明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1、管材选用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给水管道采用PP-S套钢一体套钢涂塑给水管，专用管件连接;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生活污水管采用UPVC排水塑料管及相应管件，粘接接口。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雨水排水管管材采用PP-S内外涂塑雨水管，沟槽连接。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2、阀门及附件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(1）生活给水管DN50采用全铜质闸阀;&lt;DN50的采用球阀(2)公共卫生间采用与管材同质防返溢地漏，算子均为镀铬制品，地漏水封高度不小于50mm;存水弯水封高度不得小于50mm。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(3）地面清扫采用铜制品，清扫口表面与地面平。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全部卫生洁具、给水配件均采用节水型产品，不得采用淘汰产品。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3、管道保温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(1)仓库无采暖，为防止冬季管道冻裂，卫生间室内架空给水管道做电伴热保温。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4、管道设计压力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(1)给水管道设计工作压力0.35Mpa;试验压力0.6Mpa。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5、其他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(1）图中所注尺寸除管长、标高以m计外，其余已mm计。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(2〉本图所注管道标高:给水管指管中心;污水、雨水管道管内底;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室内士0.000相当于绝对标高同建筑图，室内外高差0.15m。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施工中应与土建公司和其他专业公司密切合作，合理安排施工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进度，及时预留孔洞及预埋套管，以防碰撞和返工。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(5）施工及验收按照《建筑给水排水及采暖工程施工及质量验收规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范》GB50242-2002及《建筑排水硬聚氯乙烯管道工程技术规程》CJJ/29-98有关条款进行。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2405" cy="3200400"/>
            <wp:effectExtent l="0" t="0" r="635" b="0"/>
            <wp:docPr id="1" name="图片 1" descr="QQ截图20230301192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303011927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1770" cy="4954905"/>
            <wp:effectExtent l="0" t="0" r="1270" b="13335"/>
            <wp:docPr id="2" name="图片 2" descr="QQ截图2023030119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303011928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95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2B19BC"/>
    <w:multiLevelType w:val="singleLevel"/>
    <w:tmpl w:val="E02B19BC"/>
    <w:lvl w:ilvl="0" w:tentative="0">
      <w:start w:val="3"/>
      <w:numFmt w:val="decimal"/>
      <w:suff w:val="nothing"/>
      <w:lvlText w:val="(%1）"/>
      <w:lvlJc w:val="left"/>
    </w:lvl>
  </w:abstractNum>
  <w:abstractNum w:abstractNumId="1">
    <w:nsid w:val="2980BAB2"/>
    <w:multiLevelType w:val="singleLevel"/>
    <w:tmpl w:val="2980BAB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2F42EF4A"/>
    <w:multiLevelType w:val="singleLevel"/>
    <w:tmpl w:val="2F42EF4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ZTJmZTRiN2Y1MDYxYjk3MGUwODQ4M2YxNjA4OTcifQ=="/>
  </w:docVars>
  <w:rsids>
    <w:rsidRoot w:val="19C33C1A"/>
    <w:rsid w:val="19C3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781</Words>
  <Characters>918</Characters>
  <Lines>0</Lines>
  <Paragraphs>0</Paragraphs>
  <TotalTime>7</TotalTime>
  <ScaleCrop>false</ScaleCrop>
  <LinksUpToDate>false</LinksUpToDate>
  <CharactersWithSpaces>921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2023-03-01T11:22:00Z</dcterms:created>
  <dc:creator>谢谢你，赠我空欢喜</dc:creator>
  <cp:lastModifiedBy>谢谢你，赠我空欢喜</cp:lastModifiedBy>
  <dcterms:modified xsi:type="dcterms:W3CDTF">2023-03-01T11:30:18Z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E3D16EE0E640422E9B9D8BEB2C7D46DA</vt:lpwstr>
  </property>
</Properties>
</file>