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长江大学宝石花学生社区服务中心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项目名称：长江大学宝石花学生社区服务中心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