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1" w:name="_GoBack"/>
      <w:bookmarkEnd w:id="71"/>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r>
              <w:t>风城绿廊--基于能源转化目标下的高校活动中心模块活化改造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2023年2月28日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drawing>
          <wp:inline distT="0" distB="0" distL="0" distR="0">
            <wp:extent cx="2476500" cy="24765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T13481704040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大连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III</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1.00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6570.40</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3</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15.00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3" w:name="达标率评价要求"/>
      <w:r>
        <w:t>60%</w:t>
      </w:r>
      <w:bookmarkEnd w:id="23"/>
      <w:r>
        <w:t xml:space="preserve">, </w:t>
      </w:r>
      <w:r>
        <w:rPr>
          <w:rFonts w:hint="eastAsia"/>
        </w:rPr>
        <w:t>得</w:t>
      </w:r>
      <w:bookmarkStart w:id="24" w:name="达标率评价分值"/>
      <w:r>
        <w:t>3</w:t>
      </w:r>
      <w:bookmarkEnd w:id="2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5" w:name="_Toc264569232"/>
      <w:bookmarkStart w:id="26" w:name="_Toc275165382"/>
      <w:bookmarkStart w:id="27" w:name="_Toc264043625"/>
      <w:bookmarkStart w:id="28" w:name="_Toc312399791"/>
      <w:bookmarkStart w:id="29" w:name="_Toc290149054"/>
      <w:bookmarkStart w:id="30" w:name="_Toc290209336"/>
      <w:bookmarkStart w:id="31" w:name="_Toc290209312"/>
      <w:r>
        <w:rPr>
          <w:rFonts w:hint="eastAsia"/>
        </w:rPr>
        <w:t>采光分析</w:t>
      </w:r>
      <w:r>
        <w:t>概述</w:t>
      </w:r>
      <w:bookmarkEnd w:id="25"/>
      <w:bookmarkEnd w:id="26"/>
      <w:bookmarkEnd w:id="27"/>
      <w:bookmarkEnd w:id="28"/>
      <w:bookmarkEnd w:id="29"/>
      <w:bookmarkEnd w:id="30"/>
      <w:bookmarkEnd w:id="3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6325" cy="447675"/>
            <wp:effectExtent l="0" t="0" r="0" b="825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6325" cy="447675"/>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2" w:name="_Toc275165387"/>
      <w:bookmarkStart w:id="33" w:name="_Toc290209317"/>
      <w:bookmarkStart w:id="34" w:name="_Toc290149059"/>
      <w:bookmarkStart w:id="35" w:name="_Toc264569237"/>
      <w:bookmarkStart w:id="36" w:name="_Toc264043630"/>
      <w:bookmarkStart w:id="37" w:name="_Toc312399796"/>
      <w:bookmarkStart w:id="38" w:name="_Toc290209341"/>
      <w:r>
        <w:t>分析软件</w:t>
      </w:r>
      <w:bookmarkEnd w:id="32"/>
      <w:bookmarkEnd w:id="33"/>
      <w:bookmarkEnd w:id="34"/>
      <w:bookmarkEnd w:id="35"/>
      <w:bookmarkEnd w:id="36"/>
      <w:bookmarkEnd w:id="37"/>
      <w:bookmarkEnd w:id="3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9" w:name="_Toc290209340"/>
      <w:bookmarkStart w:id="40" w:name="_Toc312399795"/>
      <w:bookmarkStart w:id="41" w:name="_Toc264043629"/>
      <w:bookmarkStart w:id="42" w:name="_Toc264569236"/>
      <w:bookmarkStart w:id="43" w:name="_Toc275165386"/>
      <w:bookmarkStart w:id="44" w:name="_Toc290149058"/>
      <w:bookmarkStart w:id="45" w:name="_Toc290209316"/>
      <w:r>
        <w:t>模拟</w:t>
      </w:r>
      <w:bookmarkEnd w:id="39"/>
      <w:bookmarkEnd w:id="40"/>
      <w:bookmarkEnd w:id="41"/>
      <w:bookmarkEnd w:id="42"/>
      <w:bookmarkEnd w:id="43"/>
      <w:bookmarkEnd w:id="44"/>
      <w:bookmarkEnd w:id="4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6" w:name="分析面高"/>
      <w:r>
        <w:t>0.75</w:t>
      </w:r>
      <w:bookmarkEnd w:id="4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7" w:name="网格划分小房间面积"/>
            <w:r>
              <w:rPr>
                <w:szCs w:val="18"/>
              </w:rPr>
              <w:t>10</w:t>
            </w:r>
            <w:bookmarkEnd w:id="47"/>
          </w:p>
        </w:tc>
        <w:tc>
          <w:tcPr>
            <w:tcW w:w="3272" w:type="dxa"/>
            <w:shd w:val="clear" w:color="auto" w:fill="auto"/>
            <w:vAlign w:val="center"/>
          </w:tcPr>
          <w:p>
            <w:pPr>
              <w:rPr>
                <w:szCs w:val="18"/>
              </w:rPr>
            </w:pPr>
            <w:bookmarkStart w:id="48" w:name="小房间网格大小"/>
            <w:r>
              <w:rPr>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9" w:name="网格划分房间面积"/>
            <w:r>
              <w:rPr>
                <w:szCs w:val="18"/>
              </w:rPr>
              <w:t>10~100</w:t>
            </w:r>
            <w:bookmarkEnd w:id="49"/>
          </w:p>
        </w:tc>
        <w:tc>
          <w:tcPr>
            <w:tcW w:w="3272" w:type="dxa"/>
            <w:shd w:val="clear" w:color="auto" w:fill="auto"/>
            <w:vAlign w:val="center"/>
          </w:tcPr>
          <w:p>
            <w:pPr>
              <w:rPr>
                <w:szCs w:val="18"/>
              </w:rPr>
            </w:pPr>
            <w:bookmarkStart w:id="50" w:name="网格大小"/>
            <w:r>
              <w:rPr>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1" w:name="网格划分大房间面积"/>
            <w:r>
              <w:rPr>
                <w:szCs w:val="18"/>
              </w:rPr>
              <w:t>100</w:t>
            </w:r>
            <w:bookmarkEnd w:id="51"/>
          </w:p>
        </w:tc>
        <w:tc>
          <w:tcPr>
            <w:tcW w:w="3272" w:type="dxa"/>
            <w:shd w:val="clear" w:color="auto" w:fill="auto"/>
            <w:vAlign w:val="center"/>
          </w:tcPr>
          <w:p>
            <w:pPr>
              <w:rPr>
                <w:szCs w:val="18"/>
              </w:rPr>
            </w:pPr>
            <w:bookmarkStart w:id="52" w:name="大房间网格大小"/>
            <w:r>
              <w:rPr>
                <w:szCs w:val="18"/>
              </w:rPr>
              <w:t>1.00</w:t>
            </w:r>
            <w:bookmarkEnd w:id="5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3" w:name="顶棚反射比"/>
            <w:r>
              <w:t>0.75</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4" w:name="地面反射比"/>
            <w:r>
              <w:t>0.30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5" w:name="墙面反射比"/>
            <w:r>
              <w:t>0.60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6" w:name="外表面反射比"/>
            <w:r>
              <w:t>0.50</w:t>
            </w:r>
            <w:bookmarkEnd w:id="5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7" w:name="_Toc422822724"/>
      <w:r>
        <w:rPr>
          <w:rFonts w:hint="eastAsia"/>
        </w:rPr>
        <w:t>门窗类型参数</w:t>
      </w:r>
      <w:bookmarkEnd w:id="5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8" w:name="窗"/>
      <w:bookmarkStart w:id="59" w:name="_Toc422822727"/>
      <w:r>
        <w:t>普通</w:t>
      </w:r>
      <w:r>
        <w:rPr>
          <w:rFonts w:hint="eastAsia"/>
        </w:rPr>
        <w:t>窗</w:t>
      </w:r>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C3018</w:t>
            </w:r>
          </w:p>
        </w:tc>
        <w:tc>
          <w:tcPr>
            <w:vAlign w:val="center"/>
          </w:tcPr>
          <w:p>
            <w:r>
              <w:t>3000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5"/>
      </w:pPr>
      <w:bookmarkStart w:id="60" w:name="天窗"/>
      <w:r>
        <w:rPr>
          <w:rFonts w:hint="eastAsia"/>
        </w:rPr>
        <w:t xml:space="preserve">天 </w:t>
      </w:r>
      <w:r>
        <w:t xml:space="preserve"> </w:t>
      </w:r>
      <w:r>
        <w:rPr>
          <w:rFonts w:hint="eastAsia"/>
        </w:rPr>
        <w:t>窗</w:t>
      </w:r>
      <w:bookmarkEnd w:id="59"/>
    </w:p>
    <w:bookmarkEnd w:id="60"/>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3346</w:t>
            </w:r>
          </w:p>
        </w:tc>
        <w:tc>
          <w:tcPr>
            <w:vAlign w:val="center"/>
          </w:tcPr>
          <w:p>
            <w:r>
              <w:t>17752</w:t>
            </w:r>
          </w:p>
        </w:tc>
        <w:tc>
          <w:tcPr>
            <w:vAlign w:val="center"/>
          </w:tcPr>
          <w:p>
            <w:r>
              <w:t>59.398</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61" w:name="窗污染折减系数"/>
      <w:bookmarkEnd w:id="61"/>
    </w:p>
    <w:p>
      <w:pPr>
        <w:pStyle w:val="2"/>
      </w:pPr>
      <w:bookmarkStart w:id="62" w:name="_Toc422822729"/>
      <w:r>
        <w:rPr>
          <w:rFonts w:hint="eastAsia"/>
        </w:rPr>
        <w:t>分析统计结果</w:t>
      </w:r>
      <w:bookmarkEnd w:id="62"/>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采光系数</w:t>
            </w:r>
            <w:r>
              <w:br w:type="textWrapping"/>
            </w:r>
            <w:r>
              <w:t>要求(%)</w:t>
            </w:r>
          </w:p>
        </w:tc>
        <w:tc>
          <w:tcPr>
            <w:gridSpan w:val="2"/>
            <w:shd w:val="clear" w:color="auto" w:fill="E6E6E6"/>
            <w:vAlign w:val="center"/>
          </w:tcPr>
          <w:p>
            <w:pPr>
              <w:jc w:val="center"/>
            </w:pPr>
            <w:r>
              <w:t>内区面积</w:t>
            </w:r>
            <w:r>
              <w:br w:type="textWrapping"/>
            </w:r>
            <w:r>
              <w:t>(m2)</w:t>
            </w:r>
          </w:p>
        </w:tc>
        <w:tc>
          <w:tcPr>
            <w:gridSpan w:val="2"/>
            <w:shd w:val="clear" w:color="auto" w:fill="E6E6E6"/>
            <w:vAlign w:val="center"/>
          </w:tcPr>
          <w:p>
            <w:pPr>
              <w:jc w:val="center"/>
            </w:pPr>
            <w:r>
              <w:t>达标面积</w:t>
            </w:r>
            <w:r>
              <w:br w:type="textWrapping"/>
            </w:r>
            <w:r>
              <w:t>(m2)</w:t>
            </w:r>
          </w:p>
        </w:tc>
        <w:tc>
          <w:tcPr>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115.29</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1005</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24.59</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64.89</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678.90</w:t>
            </w:r>
          </w:p>
        </w:tc>
        <w:tc>
          <w:tcPr>
            <w:gridSpan w:val="2"/>
            <w:vAlign w:val="center"/>
          </w:tcPr>
          <w:p>
            <w:pPr>
              <w:jc w:val="center"/>
            </w:pPr>
            <w:r>
              <w:t>678.90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139.79</w:t>
            </w:r>
          </w:p>
        </w:tc>
        <w:tc>
          <w:tcPr>
            <w:gridSpan w:val="2"/>
            <w:vAlign w:val="center"/>
          </w:tcPr>
          <w:p>
            <w:pPr>
              <w:jc w:val="center"/>
            </w:pPr>
            <w:r>
              <w:t>104.60</w:t>
            </w:r>
          </w:p>
        </w:tc>
        <w:tc>
          <w:tcPr>
            <w:vAlign w:val="center"/>
          </w:tcPr>
          <w:p>
            <w:pPr>
              <w:jc w:val="center"/>
            </w:pPr>
            <w: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132.95</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32.94</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2004</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47.17</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2006</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98.70</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164.90</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2013</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54.95</w:t>
            </w:r>
          </w:p>
        </w:tc>
        <w:tc>
          <w:tcPr>
            <w:gridSpan w:val="2"/>
            <w:vAlign w:val="center"/>
          </w:tcPr>
          <w:p>
            <w:pPr>
              <w:jc w:val="center"/>
            </w:pPr>
            <w:r>
              <w:t>54.95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3</w:t>
            </w:r>
          </w:p>
        </w:tc>
        <w:tc>
          <w:tcPr>
            <w:gridSpan w:val="2"/>
            <w:vAlign w:val="center"/>
          </w:tcPr>
          <w:p>
            <w:pPr>
              <w:jc w:val="center"/>
            </w:pPr>
            <w:r>
              <w:t>3001</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1169.07</w:t>
            </w:r>
          </w:p>
        </w:tc>
        <w:tc>
          <w:tcPr>
            <w:gridSpan w:val="2"/>
            <w:vAlign w:val="center"/>
          </w:tcPr>
          <w:p>
            <w:pPr>
              <w:jc w:val="center"/>
            </w:pPr>
            <w:r>
              <w:t>474.51</w:t>
            </w:r>
          </w:p>
        </w:tc>
        <w:tc>
          <w:tcPr>
            <w:vAlign w:val="center"/>
          </w:tcPr>
          <w:p>
            <w:pPr>
              <w:jc w:val="center"/>
            </w:pPr>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132.95</w:t>
            </w:r>
          </w:p>
        </w:tc>
        <w:tc>
          <w:tcPr>
            <w:gridSpan w:val="2"/>
            <w:vAlign w:val="center"/>
          </w:tcPr>
          <w:p>
            <w:pPr>
              <w:jc w:val="center"/>
            </w:pPr>
            <w:r>
              <w:t>4.92</w:t>
            </w:r>
          </w:p>
        </w:tc>
        <w:tc>
          <w:tcPr>
            <w:vAlign w:val="center"/>
          </w:tcPr>
          <w:p>
            <w:pPr>
              <w:jc w:val="center"/>
            </w:pPr>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3003</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33.08</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3006</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2.00</w:t>
            </w:r>
          </w:p>
        </w:tc>
        <w:tc>
          <w:tcPr>
            <w:gridSpan w:val="2"/>
            <w:vAlign w:val="center"/>
          </w:tcPr>
          <w:p>
            <w:pPr>
              <w:jc w:val="center"/>
            </w:pPr>
            <w:r>
              <w:t>138.20</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3007</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2.00</w:t>
            </w:r>
          </w:p>
        </w:tc>
        <w:tc>
          <w:tcPr>
            <w:gridSpan w:val="2"/>
            <w:vAlign w:val="center"/>
          </w:tcPr>
          <w:p>
            <w:pPr>
              <w:jc w:val="center"/>
            </w:pPr>
            <w:r>
              <w:t>47.18</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3012</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2.00</w:t>
            </w:r>
          </w:p>
        </w:tc>
        <w:tc>
          <w:tcPr>
            <w:gridSpan w:val="2"/>
            <w:vAlign w:val="center"/>
          </w:tcPr>
          <w:p>
            <w:pPr>
              <w:jc w:val="center"/>
            </w:pPr>
            <w:r>
              <w:t>105.00</w:t>
            </w:r>
          </w:p>
        </w:tc>
        <w:tc>
          <w:tcPr>
            <w:gridSpan w:val="2"/>
            <w:vAlign w:val="center"/>
          </w:tcPr>
          <w:p>
            <w:pPr>
              <w:jc w:val="center"/>
            </w:pPr>
            <w:r>
              <w:t>105.00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3013</w:t>
            </w:r>
          </w:p>
        </w:tc>
        <w:tc>
          <w:tcPr>
            <w:gridSpan w:val="2"/>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8.99</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普通教室</w:t>
            </w:r>
          </w:p>
        </w:tc>
        <w:tc>
          <w:tcPr>
            <w:gridSpan w:val="2"/>
            <w:vAlign w:val="center"/>
          </w:tcPr>
          <w:p>
            <w:r>
              <w:t>混合</w:t>
            </w:r>
          </w:p>
        </w:tc>
        <w:tc>
          <w:tcPr>
            <w:gridSpan w:val="2"/>
            <w:vAlign w:val="center"/>
          </w:tcPr>
          <w:p>
            <w:r>
              <w:t>2.00</w:t>
            </w:r>
          </w:p>
        </w:tc>
        <w:tc>
          <w:tcPr>
            <w:gridSpan w:val="3"/>
            <w:vAlign w:val="center"/>
          </w:tcPr>
          <w:p>
            <w:r>
              <w:t>－</w:t>
            </w:r>
          </w:p>
        </w:tc>
        <w:tc>
          <w:tcPr>
            <w:gridSpan w:val="2"/>
            <w:vAlign w:val="center"/>
          </w:tcPr>
          <w:p>
            <w:r>
              <w:t>2962.35</w:t>
            </w:r>
          </w:p>
        </w:tc>
        <w:tc>
          <w:tcPr>
            <w:gridSpan w:val="2"/>
            <w:vAlign w:val="center"/>
          </w:tcPr>
          <w:p>
            <w:r>
              <w:t>1317.88</w:t>
            </w:r>
          </w:p>
        </w:tc>
        <w:tc>
          <w:tcPr>
            <w:gridSpan w:val="3"/>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普通教室</w:t>
            </w:r>
          </w:p>
        </w:tc>
        <w:tc>
          <w:tcPr>
            <w:gridSpan w:val="2"/>
            <w:vAlign w:val="center"/>
          </w:tcPr>
          <w:p>
            <w:r>
              <w:t>侧面</w:t>
            </w:r>
          </w:p>
        </w:tc>
        <w:tc>
          <w:tcPr>
            <w:gridSpan w:val="2"/>
            <w:vAlign w:val="center"/>
          </w:tcPr>
          <w:p>
            <w:r>
              <w:t>3.00</w:t>
            </w:r>
          </w:p>
        </w:tc>
        <w:tc>
          <w:tcPr>
            <w:gridSpan w:val="3"/>
            <w:vAlign w:val="center"/>
          </w:tcPr>
          <w:p>
            <w:r>
              <w:t>450</w:t>
            </w:r>
          </w:p>
        </w:tc>
        <w:tc>
          <w:tcPr>
            <w:gridSpan w:val="2"/>
            <w:vAlign w:val="center"/>
          </w:tcPr>
          <w:p>
            <w:r>
              <w:t>75.02</w:t>
            </w:r>
          </w:p>
        </w:tc>
        <w:tc>
          <w:tcPr>
            <w:gridSpan w:val="2"/>
            <w:vAlign w:val="center"/>
          </w:tcPr>
          <w:p>
            <w:r>
              <w:t>0.00</w:t>
            </w:r>
          </w:p>
        </w:tc>
        <w:tc>
          <w:tcPr>
            <w:gridSpan w:val="3"/>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普通教室</w:t>
            </w:r>
          </w:p>
        </w:tc>
        <w:tc>
          <w:tcPr>
            <w:gridSpan w:val="2"/>
            <w:vAlign w:val="center"/>
          </w:tcPr>
          <w:p>
            <w:r>
              <w:t>顶部</w:t>
            </w:r>
          </w:p>
        </w:tc>
        <w:tc>
          <w:tcPr>
            <w:gridSpan w:val="2"/>
            <w:vAlign w:val="center"/>
          </w:tcPr>
          <w:p>
            <w:r>
              <w:t>2.00</w:t>
            </w:r>
          </w:p>
        </w:tc>
        <w:tc>
          <w:tcPr>
            <w:gridSpan w:val="3"/>
            <w:vAlign w:val="center"/>
          </w:tcPr>
          <w:p>
            <w:r>
              <w:t>－</w:t>
            </w:r>
          </w:p>
        </w:tc>
        <w:tc>
          <w:tcPr>
            <w:gridSpan w:val="2"/>
            <w:vAlign w:val="center"/>
          </w:tcPr>
          <w:p>
            <w:r>
              <w:t>152.18</w:t>
            </w:r>
          </w:p>
        </w:tc>
        <w:tc>
          <w:tcPr>
            <w:gridSpan w:val="2"/>
            <w:vAlign w:val="center"/>
          </w:tcPr>
          <w:p>
            <w:r>
              <w:t>105.00</w:t>
            </w:r>
          </w:p>
        </w:tc>
        <w:tc>
          <w:tcPr>
            <w:gridSpan w:val="3"/>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r>
              <w:t>总计达标面积比例(%)</w:t>
            </w:r>
          </w:p>
        </w:tc>
        <w:tc>
          <w:tcPr>
            <w:gridSpan w:val="7"/>
            <w:vAlign w:val="center"/>
          </w:tcPr>
          <w:p>
            <w:r>
              <w:t>45</w:t>
            </w:r>
          </w:p>
        </w:tc>
      </w:tr>
    </w:tbl>
    <w:p>
      <w:pPr>
        <w:rPr>
          <w:lang w:val="en-US"/>
        </w:rPr>
      </w:pPr>
      <w:bookmarkStart w:id="63" w:name="达标率表格"/>
      <w:bookmarkEnd w:id="63"/>
    </w:p>
    <w:p>
      <w:pPr>
        <w:pStyle w:val="2"/>
      </w:pPr>
      <w:bookmarkStart w:id="64" w:name="_Toc422822730"/>
      <w:r>
        <w:rPr>
          <w:rFonts w:hint="eastAsia"/>
        </w:rPr>
        <w:t>达标率彩图</w:t>
      </w:r>
      <w:bookmarkEnd w:id="64"/>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5" w:name="达标图"/>
      <w:bookmarkEnd w:id="65"/>
    </w:p>
    <w:p>
      <w:pPr>
        <w:rPr>
          <w:sz w:val="18"/>
          <w:lang w:val="en-US"/>
        </w:rPr>
      </w:pPr>
      <w:r>
        <w:drawing>
          <wp:inline distT="0" distB="0" distL="0" distR="0">
            <wp:extent cx="3714750"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3714750" cy="8010525"/>
                    </a:xfrm>
                    <a:prstGeom prst="rect">
                      <a:avLst/>
                    </a:prstGeom>
                  </pic:spPr>
                </pic:pic>
              </a:graphicData>
            </a:graphic>
          </wp:inline>
        </w:drawing>
      </w:r>
    </w:p>
    <w:p>
      <w:pPr>
        <w:rPr>
          <w:sz w:val="18"/>
          <w:lang w:val="en-US"/>
        </w:rPr>
      </w:pPr>
      <w:r>
        <w:rPr>
          <w:sz w:val="18"/>
          <w:lang w:val="en-US"/>
        </w:rPr>
        <w:t>1层</w:t>
      </w:r>
    </w:p>
    <w:p>
      <w:pPr>
        <w:rPr>
          <w:sz w:val="18"/>
          <w:lang w:val="en-US"/>
        </w:rPr>
      </w:pPr>
      <w:r>
        <w:drawing>
          <wp:inline distT="0" distB="0" distL="0" distR="0">
            <wp:extent cx="3648075"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3648075" cy="8010525"/>
                    </a:xfrm>
                    <a:prstGeom prst="rect">
                      <a:avLst/>
                    </a:prstGeom>
                  </pic:spPr>
                </pic:pic>
              </a:graphicData>
            </a:graphic>
          </wp:inline>
        </w:drawing>
      </w:r>
    </w:p>
    <w:p>
      <w:pPr>
        <w:rPr>
          <w:sz w:val="18"/>
          <w:lang w:val="en-US"/>
        </w:rPr>
      </w:pPr>
      <w:r>
        <w:rPr>
          <w:sz w:val="18"/>
          <w:lang w:val="en-US"/>
        </w:rPr>
        <w:t>2层</w:t>
      </w:r>
    </w:p>
    <w:p>
      <w:pPr>
        <w:rPr>
          <w:sz w:val="18"/>
          <w:lang w:val="en-US"/>
        </w:rPr>
      </w:pPr>
      <w:r>
        <w:drawing>
          <wp:inline distT="0" distB="0" distL="0" distR="0">
            <wp:extent cx="3648075"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3648075" cy="8010525"/>
                    </a:xfrm>
                    <a:prstGeom prst="rect">
                      <a:avLst/>
                    </a:prstGeom>
                  </pic:spPr>
                </pic:pic>
              </a:graphicData>
            </a:graphic>
          </wp:inline>
        </w:drawing>
      </w:r>
    </w:p>
    <w:p>
      <w:pPr>
        <w:rPr>
          <w:sz w:val="18"/>
          <w:lang w:val="en-US"/>
        </w:rPr>
      </w:pPr>
      <w:r>
        <w:rPr>
          <w:sz w:val="18"/>
          <w:lang w:val="en-US"/>
        </w:rPr>
        <w:t>3层</w:t>
      </w:r>
    </w:p>
    <w:p>
      <w:pPr>
        <w:rPr>
          <w:sz w:val="18"/>
          <w:lang w:val="en-US"/>
        </w:rPr>
      </w:pPr>
    </w:p>
    <w:p>
      <w:pPr>
        <w:pStyle w:val="2"/>
      </w:pPr>
      <w:bookmarkStart w:id="66" w:name="_Toc422822731"/>
      <w:r>
        <w:rPr>
          <w:rFonts w:hint="eastAsia"/>
        </w:rPr>
        <w:t>评价结论</w:t>
      </w:r>
      <w:bookmarkEnd w:id="66"/>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7" w:name="采光面积"/>
            <w:r>
              <w:rPr>
                <w:rFonts w:hint="eastAsia"/>
              </w:rPr>
              <w:t>3189.54</w:t>
            </w:r>
            <w:bookmarkEnd w:id="67"/>
          </w:p>
        </w:tc>
        <w:tc>
          <w:tcPr>
            <w:tcW w:w="3420" w:type="dxa"/>
            <w:vAlign w:val="center"/>
          </w:tcPr>
          <w:p>
            <w:bookmarkStart w:id="68" w:name="达标面积"/>
            <w:r>
              <w:rPr>
                <w:rFonts w:hint="eastAsia"/>
              </w:rPr>
              <w:t>1422.88</w:t>
            </w:r>
            <w:bookmarkEnd w:id="68"/>
          </w:p>
        </w:tc>
        <w:tc>
          <w:tcPr>
            <w:tcW w:w="1980" w:type="dxa"/>
            <w:vAlign w:val="center"/>
          </w:tcPr>
          <w:p>
            <w:bookmarkStart w:id="69" w:name="达标率"/>
            <w:r>
              <w:rPr>
                <w:rFonts w:hint="eastAsia"/>
              </w:rPr>
              <w:t>45</w:t>
            </w:r>
            <w:bookmarkEnd w:id="69"/>
          </w:p>
        </w:tc>
        <w:tc>
          <w:tcPr>
            <w:tcW w:w="1260" w:type="dxa"/>
            <w:vAlign w:val="center"/>
          </w:tcPr>
          <w:p>
            <w:bookmarkStart w:id="70" w:name="达标率得分"/>
            <w:r>
              <w:rPr>
                <w:rFonts w:hint="eastAsia"/>
              </w:rPr>
              <w:t>0</w:t>
            </w:r>
            <w:bookmarkEnd w:id="70"/>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370E5"/>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67637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6377;&#2510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datastoreItem>
</file>

<file path=docProps/app.xml><?xml version="1.0" encoding="utf-8"?>
<Properties xmlns="http://schemas.openxmlformats.org/officeDocument/2006/extended-properties" xmlns:vt="http://schemas.openxmlformats.org/officeDocument/2006/docPropsVTypes">
  <Template>tmp1.dotx</Template>
  <Pages>10</Pages>
  <Words>2931</Words>
  <Characters>3831</Characters>
  <Lines>21</Lines>
  <Paragraphs>6</Paragraphs>
  <TotalTime>168</TotalTime>
  <ScaleCrop>false</ScaleCrop>
  <LinksUpToDate>false</LinksUpToDate>
  <CharactersWithSpaces>3897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2023-02-28T09:28:00Z</dcterms:created>
  <dc:creator>李有成</dc:creator>
  <cp:lastModifiedBy>李有成</cp:lastModifiedBy>
  <dcterms:modified xsi:type="dcterms:W3CDTF">2023-02-28T09:29:12Z</dcterms:modified>
  <dc:title>公建内区采光分析报告书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AA8908EB1FA04009AEBEB236ADE6EFD4</vt:lpwstr>
  </property>
  <property fmtid="{D5CDD505-2E9C-101B-9397-08002B2CF9AE}" pid="3" name="KSOProductBuildVer">
    <vt:lpwstr>2052-11.1.0.12980</vt:lpwstr>
  </property>
</Properties>
</file>