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sz w:val="24"/>
          <w:szCs w:val="24"/>
        </w:rPr>
        <w:t>抗震性能化设计仍然是以现有的抗震科学水平和经济条件为前提的，一般需要综合考虑 使用功能、设防烈度、结构的不规则程度和类型、结构发挥延性变形的能力、造价、震后的 各种损失及修复难度等等因素。不同的抗震设防类别，其性能设计要求也有所不同。 鉴于目前强烈地震下的结构非线性分析方法的计算模型和计算参数的选用尚存在不少 经验因素，缺少从强震记录、设计施工资料到设计震害的详细验证，对结构性能的判断难以 十分准确，因此在性能设计指标的选用中宜偏于安全一些。 建筑的抗震性能化设计，立足于承载力和变形能力的综合考虑，具有很强的针对性和灵 活性。针对具体工程的需要和可能，可以对整个结构、也可以对某些部位或关键构件，灵活 运用各种措施达到预期的性能目标——着重提高抗震安全性或满足使用功能的专门要求。 例如，可以根据楼梯间作为“抗震安全岛”的要求，提出确保大震下楼梯间具有安全避 难通道的具体目标和性能要求；可以针对特别不规则、复杂建筑结构的具体情况，对抗侧力 结构的水平构件和竖向构件分别提出相应的性能目标，提高其整体或关键部位的抗震安全性； 对于地震时需要连续工作的机电设备，其相关部位的层间位移需满足设备运行所需的层间位 移限值的专门要求；其他情况，可对震后的残余变形提出满足设施检修后运行的位移要求， 也可提出大震后可修复运行的位移要求。建筑构件采用与结构构件柔性连接，只要可靠拉结 并留有足够的间隙，如玻璃幕墙与钢框之间预留变形缝隙，震害经验表明，幕墙在结构总体 安全时可以满足大震后继续使用的要求。还可以提高结构在罕遇地震下的层间位移控制值， 如国外对抗震设防类别高的建筑，其弹塑性层间位移角比普通建筑的规定值减少 20%~50%。 《抗震规范》附录 M 对结构抗震性能设计的不同要求做了规定，分别给出在设防烈度 地震、罕遇地震时，按照设计值和标准值进行计算的相关公式。 《高规》3.11 节最先提出结构抗震性能设计分为 1、2、3、4、5 五个性能水准，并对 每一个性能设计水准规定了具体的计算公式和方法。 《广东高规》3.11 节对《高规》的五个性能设计水准给出了更明确的计算公式，比如《广 东高规》规定了不同性能水准下的构件重要性系数及承载力利用系数，特别是《广东高规》 对第 3、第 4、第 5 性能设计水准不再像《高规》那样提出“应进行弹塑性计算分析”的要 求，明确了可按线弹性有限元计算出的内力位移进行性能设计的公式，这些规定便于软件实 现，使软件可以直接利用线弹性有限元结果进行性能设计。 《上海抗规》附录 L 对抗震性能化设计做了规定。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ZTAwNGMyZjNhNDQ1ZDUwYjllMTNiODY3YmEzMjgifQ=="/>
  </w:docVars>
  <w:rsids>
    <w:rsidRoot w:val="00000000"/>
    <w:rsid w:val="3183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2023-03-03T02:59:33Z</dcterms:created>
  <dc:creator>大V小v</dc:creator>
  <cp:lastModifiedBy>Vv</cp:lastModifiedBy>
  <dcterms:modified xsi:type="dcterms:W3CDTF">2023-03-03T02:59:37Z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D3DB8D91276E4B76809C5639348C1AE0</vt:lpwstr>
  </property>
</Properties>
</file>