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26FCC" w14:textId="77777777" w:rsidR="00785921" w:rsidRDefault="00000000" w:rsidP="00522B8D">
      <w:pPr>
        <w:pStyle w:val="a3"/>
        <w:ind w:firstLine="883"/>
      </w:pPr>
      <w:r>
        <w:rPr>
          <w:rFonts w:hint="eastAsia"/>
        </w:rPr>
        <w:t>建筑碳排放计算书</w:t>
      </w:r>
    </w:p>
    <w:p w14:paraId="56A7A33A" w14:textId="77777777" w:rsidR="00785921" w:rsidRPr="00522B8D" w:rsidRDefault="00000000">
      <w:pPr>
        <w:ind w:firstLine="560"/>
        <w:jc w:val="center"/>
        <w:rPr>
          <w:sz w:val="28"/>
          <w:szCs w:val="28"/>
        </w:rPr>
      </w:pPr>
      <w:r w:rsidRPr="00522B8D">
        <w:rPr>
          <w:rFonts w:hint="eastAsia"/>
          <w:sz w:val="28"/>
          <w:szCs w:val="28"/>
        </w:rPr>
        <w:t>公共建筑</w:t>
      </w:r>
    </w:p>
    <w:p w14:paraId="782DC02F" w14:textId="204EA258" w:rsidR="00785921" w:rsidRPr="00522B8D" w:rsidRDefault="00522B8D" w:rsidP="00522B8D">
      <w:pPr>
        <w:pStyle w:val="1"/>
      </w:pPr>
      <w:r w:rsidRPr="00522B8D">
        <w:rPr>
          <w:rFonts w:hint="eastAsia"/>
        </w:rPr>
        <w:t>1</w:t>
      </w:r>
      <w:r w:rsidRPr="00522B8D">
        <w:t>.</w:t>
      </w:r>
      <w:r w:rsidR="00000000" w:rsidRPr="00522B8D">
        <w:rPr>
          <w:rFonts w:hint="eastAsia"/>
        </w:rPr>
        <w:t>工程概况</w:t>
      </w:r>
    </w:p>
    <w:p w14:paraId="0E32BC4B" w14:textId="77777777" w:rsidR="00785921" w:rsidRDefault="00000000" w:rsidP="00522B8D">
      <w:pPr>
        <w:ind w:firstLine="640"/>
      </w:pPr>
      <w:r>
        <w:rPr>
          <w:rFonts w:hint="eastAsia"/>
        </w:rPr>
        <w:t>工程名称：</w:t>
      </w:r>
      <w:r>
        <w:t>绿</w:t>
      </w:r>
      <w:proofErr w:type="gramStart"/>
      <w:r>
        <w:t>源溯生</w:t>
      </w:r>
      <w:proofErr w:type="gramEnd"/>
      <w:r>
        <w:t>——</w:t>
      </w:r>
      <w:r>
        <w:t>后疫情时代下的智慧集市设计</w:t>
      </w:r>
    </w:p>
    <w:p w14:paraId="4B6E4E68" w14:textId="77777777" w:rsidR="00785921" w:rsidRDefault="00000000" w:rsidP="00522B8D">
      <w:pPr>
        <w:ind w:firstLine="640"/>
      </w:pPr>
      <w:r>
        <w:rPr>
          <w:rFonts w:hint="eastAsia"/>
        </w:rPr>
        <w:t>工程地点：江西</w:t>
      </w:r>
      <w:r>
        <w:rPr>
          <w:rFonts w:hint="eastAsia"/>
        </w:rPr>
        <w:t>-</w:t>
      </w:r>
      <w:r>
        <w:rPr>
          <w:rFonts w:hint="eastAsia"/>
        </w:rPr>
        <w:t>南昌</w:t>
      </w:r>
    </w:p>
    <w:p w14:paraId="61C2B85B" w14:textId="77777777" w:rsidR="00785921" w:rsidRDefault="00000000" w:rsidP="00522B8D">
      <w:pPr>
        <w:ind w:firstLine="640"/>
      </w:pPr>
      <w:r>
        <w:rPr>
          <w:rFonts w:hint="eastAsia"/>
        </w:rPr>
        <w:t>建筑寿命：</w:t>
      </w:r>
      <w:r>
        <w:rPr>
          <w:rFonts w:hint="eastAsia"/>
        </w:rPr>
        <w:t>50</w:t>
      </w:r>
      <w:r>
        <w:rPr>
          <w:rFonts w:hint="eastAsia"/>
        </w:rPr>
        <w:t>年</w:t>
      </w:r>
    </w:p>
    <w:p w14:paraId="06276D54" w14:textId="77777777" w:rsidR="00785921" w:rsidRDefault="00000000" w:rsidP="00522B8D">
      <w:pPr>
        <w:ind w:firstLine="640"/>
        <w:rPr>
          <w:vertAlign w:val="superscript"/>
        </w:rPr>
      </w:pPr>
      <w:r>
        <w:rPr>
          <w:rFonts w:hint="eastAsia"/>
        </w:rPr>
        <w:t>建筑面积：地上</w:t>
      </w:r>
      <w:r>
        <w:rPr>
          <w:rFonts w:hint="eastAsia"/>
        </w:rPr>
        <w:t>8651.852m</w:t>
      </w:r>
      <w:r>
        <w:rPr>
          <w:rFonts w:hint="eastAsia"/>
          <w:vertAlign w:val="superscript"/>
        </w:rPr>
        <w:t xml:space="preserve">3 </w:t>
      </w:r>
      <w:r>
        <w:rPr>
          <w:rFonts w:hint="eastAsia"/>
        </w:rPr>
        <w:t xml:space="preserve"> </w:t>
      </w:r>
      <w:r>
        <w:rPr>
          <w:rFonts w:hint="eastAsia"/>
        </w:rPr>
        <w:t>地下</w:t>
      </w:r>
      <w:r>
        <w:rPr>
          <w:rFonts w:hint="eastAsia"/>
        </w:rPr>
        <w:t>0m</w:t>
      </w:r>
      <w:r>
        <w:rPr>
          <w:rFonts w:hint="eastAsia"/>
          <w:vertAlign w:val="superscript"/>
        </w:rPr>
        <w:t>3</w:t>
      </w:r>
    </w:p>
    <w:p w14:paraId="3199E311" w14:textId="77777777" w:rsidR="00785921" w:rsidRDefault="00000000" w:rsidP="00522B8D">
      <w:pPr>
        <w:ind w:firstLine="640"/>
      </w:pPr>
      <w:r>
        <w:rPr>
          <w:rFonts w:hint="eastAsia"/>
        </w:rPr>
        <w:t>建筑层数：地上</w:t>
      </w: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地下</w:t>
      </w:r>
      <w:r>
        <w:rPr>
          <w:rFonts w:hint="eastAsia"/>
        </w:rPr>
        <w:t>0</w:t>
      </w:r>
    </w:p>
    <w:p w14:paraId="77A8DBD0" w14:textId="77777777" w:rsidR="00785921" w:rsidRDefault="00000000" w:rsidP="00522B8D">
      <w:pPr>
        <w:ind w:firstLine="640"/>
      </w:pPr>
      <w:r>
        <w:rPr>
          <w:rFonts w:hint="eastAsia"/>
        </w:rPr>
        <w:t>建筑高度：</w:t>
      </w:r>
      <w:r>
        <w:rPr>
          <w:rFonts w:hint="eastAsia"/>
        </w:rPr>
        <w:t>10.8</w:t>
      </w:r>
    </w:p>
    <w:p w14:paraId="2405B632" w14:textId="77777777" w:rsidR="00785921" w:rsidRDefault="00000000" w:rsidP="00522B8D">
      <w:pPr>
        <w:ind w:firstLine="640"/>
      </w:pPr>
      <w:r>
        <w:rPr>
          <w:rFonts w:hint="eastAsia"/>
        </w:rPr>
        <w:t>控温期：供暖期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>-2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日（次年）</w:t>
      </w:r>
      <w:r>
        <w:rPr>
          <w:rFonts w:hint="eastAsia"/>
        </w:rPr>
        <w:t xml:space="preserve"> </w:t>
      </w:r>
      <w:r>
        <w:rPr>
          <w:rFonts w:hint="eastAsia"/>
        </w:rPr>
        <w:t>供冷期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-8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</w:p>
    <w:p w14:paraId="0A2B6AEB" w14:textId="020B74FC" w:rsidR="00785921" w:rsidRDefault="00522B8D" w:rsidP="00522B8D">
      <w:pPr>
        <w:pStyle w:val="1"/>
      </w:pPr>
      <w:r>
        <w:rPr>
          <w:rFonts w:hint="eastAsia"/>
        </w:rPr>
        <w:t>2</w:t>
      </w:r>
      <w:r>
        <w:t>.</w:t>
      </w:r>
      <w:r w:rsidR="00000000">
        <w:rPr>
          <w:rFonts w:hint="eastAsia"/>
        </w:rPr>
        <w:t>标准依据</w:t>
      </w:r>
    </w:p>
    <w:p w14:paraId="3EB1692D" w14:textId="4E55C8E6" w:rsidR="00785921" w:rsidRDefault="00522B8D" w:rsidP="00522B8D">
      <w:pPr>
        <w:ind w:firstLine="640"/>
      </w:pPr>
      <w:r>
        <w:rPr>
          <w:rFonts w:hint="eastAsia"/>
        </w:rPr>
        <w:t>1</w:t>
      </w:r>
      <w:r>
        <w:t>.</w:t>
      </w:r>
      <w:r w:rsidR="00000000">
        <w:rPr>
          <w:rFonts w:hint="eastAsia"/>
        </w:rPr>
        <w:t>《建筑节能与可再生能源利用通用规范》</w:t>
      </w:r>
      <w:r w:rsidR="00000000">
        <w:rPr>
          <w:rFonts w:hint="eastAsia"/>
        </w:rPr>
        <w:t>GB 55015-2021</w:t>
      </w:r>
    </w:p>
    <w:p w14:paraId="371CB8D7" w14:textId="11B5CDF3" w:rsidR="00785921" w:rsidRDefault="00522B8D" w:rsidP="00522B8D">
      <w:pPr>
        <w:ind w:firstLine="640"/>
      </w:pPr>
      <w:r>
        <w:rPr>
          <w:rFonts w:hint="eastAsia"/>
        </w:rPr>
        <w:t>2</w:t>
      </w:r>
      <w:r>
        <w:t>.</w:t>
      </w:r>
      <w:r w:rsidR="00000000">
        <w:rPr>
          <w:rFonts w:hint="eastAsia"/>
        </w:rPr>
        <w:t>《建筑碳排放计算标准》</w:t>
      </w:r>
      <w:r w:rsidR="00000000">
        <w:rPr>
          <w:rFonts w:hint="eastAsia"/>
        </w:rPr>
        <w:t>GB/T 51366-2019</w:t>
      </w:r>
    </w:p>
    <w:p w14:paraId="63EBF39C" w14:textId="5AA26D8F" w:rsidR="00785921" w:rsidRDefault="00522B8D" w:rsidP="00522B8D">
      <w:pPr>
        <w:ind w:firstLine="640"/>
      </w:pPr>
      <w:r>
        <w:rPr>
          <w:rFonts w:hint="eastAsia"/>
        </w:rPr>
        <w:t>3</w:t>
      </w:r>
      <w:r>
        <w:t>.</w:t>
      </w:r>
      <w:r w:rsidR="00000000">
        <w:rPr>
          <w:rFonts w:hint="eastAsia"/>
        </w:rPr>
        <w:t>《绿色建筑评价标准》</w:t>
      </w:r>
      <w:r w:rsidR="00000000">
        <w:rPr>
          <w:rFonts w:hint="eastAsia"/>
        </w:rPr>
        <w:t>GB/T 50378-2019</w:t>
      </w:r>
    </w:p>
    <w:p w14:paraId="6DED89E6" w14:textId="75266BAC" w:rsidR="00785921" w:rsidRDefault="00522B8D" w:rsidP="00522B8D">
      <w:pPr>
        <w:ind w:firstLine="640"/>
      </w:pPr>
      <w:r>
        <w:rPr>
          <w:rFonts w:hint="eastAsia"/>
        </w:rPr>
        <w:t>4</w:t>
      </w:r>
      <w:r>
        <w:t>.</w:t>
      </w:r>
      <w:r w:rsidR="00000000">
        <w:rPr>
          <w:rFonts w:hint="eastAsia"/>
        </w:rPr>
        <w:t>《民用建筑绿色性能计算标准》</w:t>
      </w:r>
      <w:r w:rsidR="00000000">
        <w:rPr>
          <w:rFonts w:hint="eastAsia"/>
        </w:rPr>
        <w:t>JGJ/T 449-2018</w:t>
      </w:r>
    </w:p>
    <w:p w14:paraId="016CFF24" w14:textId="77777777" w:rsidR="00522B8D" w:rsidRDefault="00522B8D" w:rsidP="00522B8D">
      <w:pPr>
        <w:pStyle w:val="1"/>
      </w:pPr>
      <w:r>
        <w:t>3.</w:t>
      </w:r>
      <w:r w:rsidR="00000000">
        <w:rPr>
          <w:rFonts w:hint="eastAsia"/>
        </w:rPr>
        <w:t>气象地点</w:t>
      </w:r>
    </w:p>
    <w:p w14:paraId="6C7847A2" w14:textId="20C35A54" w:rsidR="00785921" w:rsidRDefault="00000000" w:rsidP="00522B8D">
      <w:pPr>
        <w:ind w:firstLine="640"/>
      </w:pPr>
      <w:r>
        <w:rPr>
          <w:rFonts w:hint="eastAsia"/>
        </w:rPr>
        <w:t>江西南昌《建筑节能气象参数标准》</w:t>
      </w:r>
    </w:p>
    <w:p w14:paraId="5D60F19C" w14:textId="66396FC4" w:rsidR="00785921" w:rsidRDefault="00522B8D" w:rsidP="00522B8D">
      <w:pPr>
        <w:pStyle w:val="1"/>
      </w:pPr>
      <w:r>
        <w:lastRenderedPageBreak/>
        <w:t>4.</w:t>
      </w:r>
      <w:r w:rsidR="00000000">
        <w:rPr>
          <w:rFonts w:hint="eastAsia"/>
        </w:rPr>
        <w:t>围护结构</w:t>
      </w:r>
    </w:p>
    <w:p w14:paraId="6B21CCE7" w14:textId="77777777" w:rsidR="00785921" w:rsidRDefault="00000000" w:rsidP="00522B8D">
      <w:pPr>
        <w:pStyle w:val="2"/>
      </w:pPr>
      <w:r>
        <w:rPr>
          <w:rFonts w:hint="eastAsia"/>
        </w:rPr>
        <w:t>4.1</w:t>
      </w:r>
      <w:r>
        <w:rPr>
          <w:rFonts w:hint="eastAsia"/>
        </w:rPr>
        <w:t>工程材料</w:t>
      </w:r>
    </w:p>
    <w:p w14:paraId="0ABEB4F4" w14:textId="77777777" w:rsidR="00785921" w:rsidRDefault="00000000">
      <w:pPr>
        <w:ind w:firstLine="640"/>
      </w:pPr>
      <w:r>
        <w:rPr>
          <w:noProof/>
        </w:rPr>
        <w:drawing>
          <wp:inline distT="0" distB="0" distL="114300" distR="114300" wp14:anchorId="27E16D1C" wp14:editId="0E23A504">
            <wp:extent cx="5273675" cy="1495425"/>
            <wp:effectExtent l="0" t="0" r="317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0B202" w14:textId="77777777" w:rsidR="00785921" w:rsidRDefault="00000000" w:rsidP="00522B8D">
      <w:pPr>
        <w:pStyle w:val="2"/>
      </w:pPr>
      <w:r>
        <w:rPr>
          <w:rFonts w:hint="eastAsia"/>
        </w:rPr>
        <w:t>4.2</w:t>
      </w:r>
      <w:r>
        <w:rPr>
          <w:rFonts w:hint="eastAsia"/>
        </w:rPr>
        <w:t>围护结构做法简要说明</w:t>
      </w:r>
    </w:p>
    <w:p w14:paraId="5429C780" w14:textId="77777777" w:rsidR="00785921" w:rsidRDefault="00000000" w:rsidP="00522B8D">
      <w:pPr>
        <w:pStyle w:val="3"/>
      </w:pPr>
      <w:r>
        <w:rPr>
          <w:rFonts w:hint="eastAsia"/>
        </w:rPr>
        <w:t>4.2.1</w:t>
      </w:r>
      <w:r>
        <w:rPr>
          <w:rFonts w:hint="eastAsia"/>
        </w:rPr>
        <w:t>屋顶构造</w:t>
      </w:r>
    </w:p>
    <w:p w14:paraId="61D74BFF" w14:textId="77777777" w:rsidR="00785921" w:rsidRDefault="00000000">
      <w:pPr>
        <w:ind w:firstLine="640"/>
      </w:pPr>
      <w:r>
        <w:rPr>
          <w:noProof/>
        </w:rPr>
        <w:drawing>
          <wp:inline distT="0" distB="0" distL="114300" distR="114300" wp14:anchorId="087E35C4" wp14:editId="6CE1533A">
            <wp:extent cx="5191125" cy="14001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B4EF4" w14:textId="77777777" w:rsidR="00785921" w:rsidRDefault="00000000" w:rsidP="00522B8D">
      <w:pPr>
        <w:pStyle w:val="3"/>
      </w:pPr>
      <w:r>
        <w:rPr>
          <w:rFonts w:hint="eastAsia"/>
        </w:rPr>
        <w:t>4.2.2</w:t>
      </w:r>
      <w:r>
        <w:rPr>
          <w:rFonts w:hint="eastAsia"/>
        </w:rPr>
        <w:t>外墙构造</w:t>
      </w:r>
    </w:p>
    <w:p w14:paraId="4A60ADE6" w14:textId="77777777" w:rsidR="00785921" w:rsidRDefault="00000000">
      <w:pPr>
        <w:ind w:firstLine="640"/>
      </w:pPr>
      <w:r>
        <w:rPr>
          <w:noProof/>
        </w:rPr>
        <w:drawing>
          <wp:inline distT="0" distB="0" distL="114300" distR="114300" wp14:anchorId="1B42CCA9" wp14:editId="6CB23B25">
            <wp:extent cx="5133975" cy="11430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C206D" w14:textId="77777777" w:rsidR="00785921" w:rsidRDefault="00000000" w:rsidP="00522B8D">
      <w:pPr>
        <w:pStyle w:val="3"/>
      </w:pPr>
      <w:r>
        <w:rPr>
          <w:rFonts w:hint="eastAsia"/>
        </w:rPr>
        <w:t>4.2.3</w:t>
      </w:r>
      <w:r>
        <w:rPr>
          <w:rFonts w:hint="eastAsia"/>
        </w:rPr>
        <w:t>外窗</w:t>
      </w:r>
    </w:p>
    <w:p w14:paraId="5874E790" w14:textId="77777777" w:rsidR="00785921" w:rsidRDefault="00000000" w:rsidP="00522B8D">
      <w:pPr>
        <w:ind w:firstLine="640"/>
      </w:pPr>
      <w:r>
        <w:rPr>
          <w:rFonts w:hint="eastAsia"/>
        </w:rPr>
        <w:t>外窗采用</w:t>
      </w:r>
      <w:r>
        <w:rPr>
          <w:rFonts w:hint="eastAsia"/>
        </w:rPr>
        <w:t>12A</w:t>
      </w:r>
      <w:proofErr w:type="gramStart"/>
      <w:r>
        <w:rPr>
          <w:rFonts w:hint="eastAsia"/>
        </w:rPr>
        <w:t>钢铝单框</w:t>
      </w:r>
      <w:proofErr w:type="gramEnd"/>
      <w:r>
        <w:rPr>
          <w:rFonts w:hint="eastAsia"/>
        </w:rPr>
        <w:t>双</w:t>
      </w:r>
      <w:proofErr w:type="gramStart"/>
      <w:r>
        <w:rPr>
          <w:rFonts w:hint="eastAsia"/>
        </w:rPr>
        <w:t>玻</w:t>
      </w:r>
      <w:proofErr w:type="gramEnd"/>
      <w:r>
        <w:rPr>
          <w:rFonts w:hint="eastAsia"/>
        </w:rPr>
        <w:t>窗（平均），传热系数</w:t>
      </w:r>
      <w:r>
        <w:rPr>
          <w:rFonts w:hint="eastAsia"/>
        </w:rPr>
        <w:t>2.500W/m2.K</w:t>
      </w:r>
      <w:r>
        <w:rPr>
          <w:rFonts w:hint="eastAsia"/>
        </w:rPr>
        <w:t>，</w:t>
      </w:r>
      <w:proofErr w:type="gramStart"/>
      <w:r>
        <w:rPr>
          <w:rFonts w:hint="eastAsia"/>
        </w:rPr>
        <w:t>玻窗比</w:t>
      </w:r>
      <w:proofErr w:type="gramEnd"/>
      <w:r>
        <w:rPr>
          <w:rFonts w:hint="eastAsia"/>
        </w:rPr>
        <w:t>0.85</w:t>
      </w:r>
      <w:r>
        <w:rPr>
          <w:rFonts w:hint="eastAsia"/>
        </w:rPr>
        <w:t>，太阳得热系数</w:t>
      </w:r>
      <w:r>
        <w:rPr>
          <w:rFonts w:hint="eastAsia"/>
        </w:rPr>
        <w:t>0.400</w:t>
      </w:r>
    </w:p>
    <w:p w14:paraId="17E463CB" w14:textId="0152FE6B" w:rsidR="00785921" w:rsidRPr="00522B8D" w:rsidRDefault="00522B8D" w:rsidP="00522B8D">
      <w:pPr>
        <w:pStyle w:val="1"/>
      </w:pPr>
      <w:r w:rsidRPr="00522B8D">
        <w:rPr>
          <w:rFonts w:hint="eastAsia"/>
        </w:rPr>
        <w:lastRenderedPageBreak/>
        <w:t>5</w:t>
      </w:r>
      <w:r w:rsidRPr="00522B8D">
        <w:t>.</w:t>
      </w:r>
      <w:r w:rsidR="00000000" w:rsidRPr="00522B8D">
        <w:rPr>
          <w:rFonts w:hint="eastAsia"/>
        </w:rPr>
        <w:t>围护结构概况</w:t>
      </w:r>
    </w:p>
    <w:p w14:paraId="2FD52C7A" w14:textId="77777777" w:rsidR="00785921" w:rsidRDefault="00000000" w:rsidP="00522B8D">
      <w:pPr>
        <w:pStyle w:val="2"/>
      </w:pPr>
      <w:r>
        <w:rPr>
          <w:rFonts w:hint="eastAsia"/>
        </w:rPr>
        <w:t>体形系数</w:t>
      </w:r>
    </w:p>
    <w:p w14:paraId="201813F9" w14:textId="77777777" w:rsidR="00785921" w:rsidRDefault="00000000">
      <w:pPr>
        <w:ind w:firstLine="640"/>
      </w:pPr>
      <w:r>
        <w:rPr>
          <w:noProof/>
        </w:rPr>
        <w:drawing>
          <wp:inline distT="0" distB="0" distL="114300" distR="114300" wp14:anchorId="0C93ECC9" wp14:editId="21EF95B1">
            <wp:extent cx="5273040" cy="905510"/>
            <wp:effectExtent l="0" t="0" r="381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2EE27" w14:textId="77777777" w:rsidR="00785921" w:rsidRDefault="00000000" w:rsidP="00522B8D">
      <w:pPr>
        <w:pStyle w:val="2"/>
      </w:pPr>
      <w:r>
        <w:rPr>
          <w:rFonts w:hint="eastAsia"/>
        </w:rPr>
        <w:t>外窗表</w:t>
      </w:r>
    </w:p>
    <w:p w14:paraId="0F373EF0" w14:textId="77777777" w:rsidR="00785921" w:rsidRDefault="00000000">
      <w:pPr>
        <w:ind w:firstLine="640"/>
      </w:pPr>
      <w:r>
        <w:rPr>
          <w:noProof/>
        </w:rPr>
        <w:drawing>
          <wp:inline distT="0" distB="0" distL="114300" distR="114300" wp14:anchorId="7F4E6364" wp14:editId="7D47E717">
            <wp:extent cx="5271770" cy="2996565"/>
            <wp:effectExtent l="0" t="0" r="5080" b="133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63ED3" w14:textId="77777777" w:rsidR="00785921" w:rsidRDefault="00000000" w:rsidP="00522B8D">
      <w:pPr>
        <w:pStyle w:val="2"/>
      </w:pPr>
      <w:proofErr w:type="gramStart"/>
      <w:r>
        <w:rPr>
          <w:rFonts w:hint="eastAsia"/>
        </w:rPr>
        <w:t>窗墙比</w:t>
      </w:r>
      <w:proofErr w:type="gramEnd"/>
    </w:p>
    <w:p w14:paraId="345502FD" w14:textId="77777777" w:rsidR="00785921" w:rsidRDefault="00000000">
      <w:pPr>
        <w:ind w:firstLine="640"/>
      </w:pPr>
      <w:r>
        <w:rPr>
          <w:noProof/>
        </w:rPr>
        <w:drawing>
          <wp:inline distT="0" distB="0" distL="114300" distR="114300" wp14:anchorId="4A794F9F" wp14:editId="2AF060C1">
            <wp:extent cx="5269230" cy="1002665"/>
            <wp:effectExtent l="0" t="0" r="762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6353E" w14:textId="214002EF" w:rsidR="00785921" w:rsidRPr="00522B8D" w:rsidRDefault="00522B8D" w:rsidP="00522B8D">
      <w:pPr>
        <w:pStyle w:val="1"/>
      </w:pPr>
      <w:r w:rsidRPr="00522B8D">
        <w:rPr>
          <w:rFonts w:hint="eastAsia"/>
        </w:rPr>
        <w:t>6</w:t>
      </w:r>
      <w:r w:rsidRPr="00522B8D">
        <w:t>.</w:t>
      </w:r>
      <w:r w:rsidR="00000000" w:rsidRPr="00522B8D">
        <w:rPr>
          <w:rFonts w:hint="eastAsia"/>
        </w:rPr>
        <w:t>计算结果</w:t>
      </w:r>
    </w:p>
    <w:p w14:paraId="3265703A" w14:textId="77777777" w:rsidR="00785921" w:rsidRDefault="00000000" w:rsidP="00522B8D">
      <w:pPr>
        <w:pStyle w:val="2"/>
      </w:pPr>
      <w:r>
        <w:rPr>
          <w:rFonts w:hint="eastAsia"/>
        </w:rPr>
        <w:t>负荷计算</w:t>
      </w:r>
    </w:p>
    <w:p w14:paraId="788F3FB4" w14:textId="77777777" w:rsidR="00785921" w:rsidRDefault="00000000">
      <w:pPr>
        <w:ind w:firstLine="640"/>
      </w:pPr>
      <w:r>
        <w:rPr>
          <w:noProof/>
        </w:rPr>
        <w:drawing>
          <wp:inline distT="0" distB="0" distL="114300" distR="114300" wp14:anchorId="62BC855B" wp14:editId="420528AC">
            <wp:extent cx="2253343" cy="619476"/>
            <wp:effectExtent l="0" t="0" r="0" b="952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68622" cy="62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BC60B" w14:textId="77777777" w:rsidR="00785921" w:rsidRDefault="00000000" w:rsidP="00522B8D">
      <w:pPr>
        <w:pStyle w:val="2"/>
      </w:pPr>
      <w:proofErr w:type="gramStart"/>
      <w:r>
        <w:rPr>
          <w:rFonts w:hint="eastAsia"/>
        </w:rPr>
        <w:lastRenderedPageBreak/>
        <w:t>碳排计算</w:t>
      </w:r>
      <w:proofErr w:type="gramEnd"/>
    </w:p>
    <w:p w14:paraId="4F394BF8" w14:textId="77777777" w:rsidR="00785921" w:rsidRDefault="00000000">
      <w:pPr>
        <w:numPr>
          <w:ilvl w:val="0"/>
          <w:numId w:val="4"/>
        </w:numPr>
        <w:ind w:firstLine="640"/>
      </w:pPr>
      <w:r>
        <w:rPr>
          <w:rFonts w:hint="eastAsia"/>
        </w:rPr>
        <w:t>建材生产运输</w:t>
      </w:r>
    </w:p>
    <w:p w14:paraId="642436DE" w14:textId="77777777" w:rsidR="00785921" w:rsidRDefault="00000000">
      <w:pPr>
        <w:ind w:firstLine="640"/>
      </w:pPr>
      <w:r>
        <w:rPr>
          <w:noProof/>
        </w:rPr>
        <w:drawing>
          <wp:inline distT="0" distB="0" distL="114300" distR="114300" wp14:anchorId="55DE0F03" wp14:editId="42F2D150">
            <wp:extent cx="5272405" cy="2272665"/>
            <wp:effectExtent l="0" t="0" r="4445" b="1333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7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9D151" w14:textId="77777777" w:rsidR="00785921" w:rsidRDefault="00000000">
      <w:pPr>
        <w:numPr>
          <w:ilvl w:val="0"/>
          <w:numId w:val="4"/>
        </w:numPr>
        <w:ind w:firstLine="640"/>
      </w:pPr>
      <w:r>
        <w:rPr>
          <w:rFonts w:hint="eastAsia"/>
        </w:rPr>
        <w:t>建筑建造拆除</w:t>
      </w:r>
    </w:p>
    <w:p w14:paraId="7CBFF520" w14:textId="77777777" w:rsidR="00785921" w:rsidRDefault="00000000">
      <w:pPr>
        <w:ind w:firstLine="640"/>
      </w:pPr>
      <w:r>
        <w:rPr>
          <w:noProof/>
        </w:rPr>
        <w:drawing>
          <wp:inline distT="0" distB="0" distL="114300" distR="114300" wp14:anchorId="7854C120" wp14:editId="6681EB5F">
            <wp:extent cx="3448050" cy="666750"/>
            <wp:effectExtent l="0" t="0" r="0" b="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BD19F" w14:textId="77777777" w:rsidR="00785921" w:rsidRDefault="00000000">
      <w:pPr>
        <w:numPr>
          <w:ilvl w:val="0"/>
          <w:numId w:val="4"/>
        </w:numPr>
        <w:ind w:firstLine="640"/>
      </w:pPr>
      <w:r>
        <w:rPr>
          <w:rFonts w:hint="eastAsia"/>
        </w:rPr>
        <w:t>建筑运行</w:t>
      </w:r>
    </w:p>
    <w:p w14:paraId="0B15AA7D" w14:textId="77777777" w:rsidR="00785921" w:rsidRDefault="00000000">
      <w:pPr>
        <w:ind w:firstLine="640"/>
      </w:pPr>
      <w:r>
        <w:rPr>
          <w:noProof/>
        </w:rPr>
        <w:drawing>
          <wp:inline distT="0" distB="0" distL="114300" distR="114300" wp14:anchorId="212F9A5E" wp14:editId="3A41CF7B">
            <wp:extent cx="5270500" cy="2491105"/>
            <wp:effectExtent l="0" t="0" r="6350" b="4445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9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A3C46" w14:textId="77777777" w:rsidR="00785921" w:rsidRDefault="00000000">
      <w:pPr>
        <w:numPr>
          <w:ilvl w:val="0"/>
          <w:numId w:val="4"/>
        </w:numPr>
        <w:ind w:firstLine="640"/>
      </w:pPr>
      <w:r>
        <w:rPr>
          <w:rFonts w:hint="eastAsia"/>
        </w:rPr>
        <w:t>全生命周期</w:t>
      </w:r>
    </w:p>
    <w:p w14:paraId="2A27327B" w14:textId="77777777" w:rsidR="00785921" w:rsidRDefault="00000000">
      <w:pPr>
        <w:ind w:firstLine="640"/>
      </w:pPr>
      <w:r>
        <w:rPr>
          <w:noProof/>
        </w:rPr>
        <w:lastRenderedPageBreak/>
        <w:drawing>
          <wp:inline distT="0" distB="0" distL="114300" distR="114300" wp14:anchorId="09C17887" wp14:editId="5E399A86">
            <wp:extent cx="3152775" cy="1276350"/>
            <wp:effectExtent l="0" t="0" r="9525" b="0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8657C" w14:textId="4DEE8DD5" w:rsidR="00785921" w:rsidRDefault="00522B8D" w:rsidP="00522B8D">
      <w:pPr>
        <w:pStyle w:val="1"/>
      </w:pPr>
      <w:r>
        <w:rPr>
          <w:rFonts w:hint="eastAsia"/>
        </w:rPr>
        <w:t>7</w:t>
      </w:r>
      <w:r>
        <w:t>.</w:t>
      </w:r>
      <w:r w:rsidR="00000000">
        <w:rPr>
          <w:rFonts w:hint="eastAsia"/>
        </w:rPr>
        <w:t>结论</w:t>
      </w:r>
    </w:p>
    <w:p w14:paraId="6EEA26DA" w14:textId="77777777" w:rsidR="00785921" w:rsidRDefault="00000000" w:rsidP="00522B8D">
      <w:pPr>
        <w:ind w:firstLine="640"/>
      </w:pPr>
      <w:r>
        <w:rPr>
          <w:rFonts w:hint="eastAsia"/>
        </w:rPr>
        <w:t>通过该项目全生命周期的碳排放量可以得出，平均每年碳排放量为</w:t>
      </w:r>
      <w:r>
        <w:rPr>
          <w:rFonts w:hint="eastAsia"/>
        </w:rPr>
        <w:t>-30.746tCO2</w:t>
      </w:r>
      <w:r>
        <w:rPr>
          <w:rFonts w:hint="eastAsia"/>
        </w:rPr>
        <w:t>，即该建筑平均每年为</w:t>
      </w:r>
      <w:r>
        <w:rPr>
          <w:rFonts w:hint="eastAsia"/>
        </w:rPr>
        <w:t>0</w:t>
      </w:r>
      <w:r>
        <w:rPr>
          <w:rFonts w:hint="eastAsia"/>
        </w:rPr>
        <w:t>碳排放且可以为环境减</w:t>
      </w:r>
      <w:proofErr w:type="gramStart"/>
      <w:r>
        <w:rPr>
          <w:rFonts w:hint="eastAsia"/>
        </w:rPr>
        <w:t>排达到</w:t>
      </w:r>
      <w:proofErr w:type="gramEnd"/>
      <w:r>
        <w:rPr>
          <w:rFonts w:hint="eastAsia"/>
        </w:rPr>
        <w:t>绿色建筑的目的。</w:t>
      </w:r>
    </w:p>
    <w:sectPr w:rsidR="00785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064DC8"/>
    <w:multiLevelType w:val="singleLevel"/>
    <w:tmpl w:val="90064DC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82CB5AE"/>
    <w:multiLevelType w:val="singleLevel"/>
    <w:tmpl w:val="D82CB5A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AA77F89"/>
    <w:multiLevelType w:val="singleLevel"/>
    <w:tmpl w:val="1AA77F89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5B4BC3AA"/>
    <w:multiLevelType w:val="singleLevel"/>
    <w:tmpl w:val="5B4BC3AA"/>
    <w:lvl w:ilvl="0">
      <w:start w:val="1"/>
      <w:numFmt w:val="decimal"/>
      <w:suff w:val="space"/>
      <w:lvlText w:val="%1."/>
      <w:lvlJc w:val="left"/>
    </w:lvl>
  </w:abstractNum>
  <w:num w:numId="1" w16cid:durableId="1802843909">
    <w:abstractNumId w:val="3"/>
  </w:num>
  <w:num w:numId="2" w16cid:durableId="1768425009">
    <w:abstractNumId w:val="0"/>
  </w:num>
  <w:num w:numId="3" w16cid:durableId="1836988475">
    <w:abstractNumId w:val="1"/>
  </w:num>
  <w:num w:numId="4" w16cid:durableId="1273903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21"/>
    <w:rsid w:val="000966A2"/>
    <w:rsid w:val="00363EA7"/>
    <w:rsid w:val="00522B8D"/>
    <w:rsid w:val="00785921"/>
    <w:rsid w:val="553A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ACD1B"/>
  <w15:docId w15:val="{3ECBDB7B-2839-4C5D-8400-6E238A8E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2B8D"/>
    <w:pPr>
      <w:widowControl w:val="0"/>
      <w:ind w:firstLineChars="200" w:firstLine="200"/>
      <w:jc w:val="both"/>
    </w:pPr>
    <w:rPr>
      <w:rFonts w:eastAsia="黑体"/>
      <w:kern w:val="2"/>
      <w:sz w:val="32"/>
      <w:szCs w:val="24"/>
    </w:rPr>
  </w:style>
  <w:style w:type="paragraph" w:styleId="1">
    <w:name w:val="heading 1"/>
    <w:basedOn w:val="a"/>
    <w:next w:val="a"/>
    <w:qFormat/>
    <w:rsid w:val="00522B8D"/>
    <w:pPr>
      <w:keepNext/>
      <w:keepLines/>
      <w:adjustRightInd w:val="0"/>
      <w:snapToGrid w:val="0"/>
      <w:spacing w:before="120" w:after="120"/>
      <w:ind w:firstLineChars="0" w:firstLine="0"/>
      <w:outlineLvl w:val="0"/>
    </w:pPr>
    <w:rPr>
      <w:rFonts w:eastAsiaTheme="majorEastAsia"/>
      <w:b/>
      <w:kern w:val="44"/>
    </w:rPr>
  </w:style>
  <w:style w:type="paragraph" w:styleId="2">
    <w:name w:val="heading 2"/>
    <w:basedOn w:val="a"/>
    <w:next w:val="a"/>
    <w:link w:val="20"/>
    <w:unhideWhenUsed/>
    <w:qFormat/>
    <w:rsid w:val="00522B8D"/>
    <w:pPr>
      <w:keepNext/>
      <w:keepLines/>
      <w:spacing w:before="120" w:after="120"/>
      <w:ind w:firstLineChars="0" w:firstLine="0"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nhideWhenUsed/>
    <w:qFormat/>
    <w:rsid w:val="00522B8D"/>
    <w:pPr>
      <w:keepNext/>
      <w:keepLines/>
      <w:spacing w:before="120" w:after="120"/>
      <w:ind w:firstLineChars="0" w:firstLine="0"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22B8D"/>
    <w:pPr>
      <w:spacing w:before="120" w:after="12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rsid w:val="00522B8D"/>
    <w:rPr>
      <w:rFonts w:asciiTheme="majorHAnsi" w:eastAsiaTheme="majorEastAsia" w:hAnsiTheme="majorHAnsi" w:cstheme="majorBidi"/>
      <w:b/>
      <w:bCs/>
      <w:kern w:val="2"/>
      <w:sz w:val="44"/>
      <w:szCs w:val="32"/>
    </w:rPr>
  </w:style>
  <w:style w:type="character" w:customStyle="1" w:styleId="20">
    <w:name w:val="标题 2 字符"/>
    <w:basedOn w:val="a0"/>
    <w:link w:val="2"/>
    <w:rsid w:val="00522B8D"/>
    <w:rPr>
      <w:rFonts w:asciiTheme="majorHAnsi" w:eastAsia="黑体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rsid w:val="00522B8D"/>
    <w:rPr>
      <w:rFonts w:eastAsia="黑体"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86157</dc:creator>
  <cp:lastModifiedBy>2840091143@qq.com</cp:lastModifiedBy>
  <cp:revision>2</cp:revision>
  <dcterms:created xsi:type="dcterms:W3CDTF">2023-01-02T12:09:00Z</dcterms:created>
  <dcterms:modified xsi:type="dcterms:W3CDTF">2023-01-02T12:09:00Z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