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辽宁-沈阳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2022年12月17日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20200923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T13624026881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_Toc24302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_Toc6406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_Toc6406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_Toc16516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_Toc16516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构造材料组成</w:t>
      </w:r>
      <w:r>
        <w:tab/>
      </w:r>
      <w:r>
        <w:fldChar w:fldCharType="begin"/>
      </w:r>
      <w:r>
        <w:instrText xml:space="preserve"> PAGEREF _Toc31462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_Toc25246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_Toc10895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_Toc19041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_Toc25897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_Toc17035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_Toc3045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_Toc2887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_Toc15098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_Toc8646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_Toc19813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_Toc9587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_Toc23483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非采暖地下室顶板</w:t>
      </w:r>
      <w:r>
        <w:tab/>
      </w:r>
      <w:r>
        <w:fldChar w:fldCharType="begin"/>
      </w:r>
      <w:r>
        <w:instrText xml:space="preserve"> PAGEREF _Toc20477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_Toc30361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非透明外门</w:t>
      </w:r>
      <w:r>
        <w:tab/>
      </w:r>
      <w:r>
        <w:fldChar w:fldCharType="begin"/>
      </w:r>
      <w:r>
        <w:instrText xml:space="preserve"> PAGEREF _Toc24210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_Toc8556 </w:instrText>
      </w:r>
      <w:r>
        <w:fldChar w:fldCharType="separate"/>
      </w:r>
      <w:r>
        <w:rPr>
          <w:rFonts w:hint="eastAsia"/>
          <w:lang w:val="en-GB"/>
        </w:rPr>
        <w:t xml:space="preserve">3.11 </w:t>
      </w:r>
      <w:r>
        <w:t>采暖与非采暖户墙</w:t>
      </w:r>
      <w:r>
        <w:tab/>
      </w:r>
      <w:r>
        <w:fldChar w:fldCharType="begin"/>
      </w:r>
      <w:r>
        <w:instrText xml:space="preserve"> PAGEREF _Toc8556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_Toc32250 </w:instrText>
      </w:r>
      <w:r>
        <w:fldChar w:fldCharType="separate"/>
      </w:r>
      <w:r>
        <w:rPr>
          <w:rFonts w:hint="eastAsia"/>
          <w:lang w:val="en-GB"/>
        </w:rPr>
        <w:t xml:space="preserve">3.12 </w:t>
      </w:r>
      <w:r>
        <w:t>不采暖楼梯间户门</w:t>
      </w:r>
      <w:r>
        <w:tab/>
      </w:r>
      <w:r>
        <w:fldChar w:fldCharType="begin"/>
      </w:r>
      <w:r>
        <w:instrText xml:space="preserve"> PAGEREF _Toc32250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_Toc30894 </w:instrText>
      </w:r>
      <w:r>
        <w:fldChar w:fldCharType="separate"/>
      </w:r>
      <w:r>
        <w:rPr>
          <w:rFonts w:hint="eastAsia"/>
          <w:lang w:val="en-GB"/>
        </w:rPr>
        <w:t xml:space="preserve">3.13 </w:t>
      </w:r>
      <w:r>
        <w:t>变形缝构造</w:t>
      </w:r>
      <w:r>
        <w:tab/>
      </w:r>
      <w:r>
        <w:fldChar w:fldCharType="begin"/>
      </w:r>
      <w:r>
        <w:instrText xml:space="preserve"> PAGEREF _Toc30894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_Toc6254 </w:instrText>
      </w:r>
      <w:r>
        <w:fldChar w:fldCharType="separate"/>
      </w:r>
      <w:r>
        <w:rPr>
          <w:rFonts w:hint="eastAsia"/>
          <w:lang w:val="en-GB"/>
        </w:rPr>
        <w:t xml:space="preserve">3.14 </w:t>
      </w:r>
      <w:r>
        <w:t>外窗热工</w:t>
      </w:r>
      <w:r>
        <w:tab/>
      </w:r>
      <w:r>
        <w:fldChar w:fldCharType="begin"/>
      </w:r>
      <w:r>
        <w:instrText xml:space="preserve"> PAGEREF _Toc6254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3.14.1 </w:t>
      </w:r>
      <w:r>
        <w:t>外窗构造</w:t>
      </w:r>
      <w:r>
        <w:tab/>
      </w:r>
      <w:r>
        <w:fldChar w:fldCharType="begin"/>
      </w:r>
      <w:r>
        <w:instrText xml:space="preserve"> PAGEREF _Toc1732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3.14.2 </w:t>
      </w:r>
      <w:r>
        <w:t>平均传热系数</w:t>
      </w:r>
      <w:r>
        <w:tab/>
      </w:r>
      <w:r>
        <w:fldChar w:fldCharType="begin"/>
      </w:r>
      <w:r>
        <w:instrText xml:space="preserve"> PAGEREF _Toc7020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3.14.3 </w:t>
      </w:r>
      <w:r>
        <w:t>总体热工性能</w:t>
      </w:r>
      <w:r>
        <w:tab/>
      </w:r>
      <w:r>
        <w:fldChar w:fldCharType="begin"/>
      </w:r>
      <w:r>
        <w:instrText xml:space="preserve"> PAGEREF _Toc9512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_Toc15565 </w:instrText>
      </w:r>
      <w:r>
        <w:fldChar w:fldCharType="separate"/>
      </w:r>
      <w:r>
        <w:rPr>
          <w:rFonts w:hint="eastAsia"/>
          <w:lang w:val="en-GB"/>
        </w:rPr>
        <w:t xml:space="preserve">3.15 </w:t>
      </w:r>
      <w:r>
        <w:t>屋顶透光部分</w:t>
      </w:r>
      <w:r>
        <w:tab/>
      </w:r>
      <w:r>
        <w:fldChar w:fldCharType="begin"/>
      </w:r>
      <w:r>
        <w:instrText xml:space="preserve"> PAGEREF _Toc15565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3.15.1 </w:t>
      </w:r>
      <w:r>
        <w:t>平屋顶透明部分与平屋顶面积比</w:t>
      </w:r>
      <w:r>
        <w:tab/>
      </w:r>
      <w:r>
        <w:fldChar w:fldCharType="begin"/>
      </w:r>
      <w:r>
        <w:instrText xml:space="preserve"> PAGEREF _Toc29569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3.15.2 </w:t>
      </w:r>
      <w:r>
        <w:t>坡屋顶透明部分与房间地面面积比</w:t>
      </w:r>
      <w:r>
        <w:tab/>
      </w:r>
      <w:r>
        <w:fldChar w:fldCharType="begin"/>
      </w:r>
      <w:r>
        <w:instrText xml:space="preserve"> PAGEREF _Toc16874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3.15.3 </w:t>
      </w:r>
      <w:r>
        <w:t>屋顶透光部分类型</w:t>
      </w:r>
      <w:r>
        <w:tab/>
      </w:r>
      <w:r>
        <w:fldChar w:fldCharType="begin"/>
      </w:r>
      <w:r>
        <w:instrText xml:space="preserve"> PAGEREF _Toc31956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_Toc8342 </w:instrText>
      </w:r>
      <w:r>
        <w:fldChar w:fldCharType="separate"/>
      </w:r>
      <w:r>
        <w:rPr>
          <w:rFonts w:hint="eastAsia"/>
          <w:lang w:val="en-GB"/>
        </w:rPr>
        <w:t xml:space="preserve">3.16 </w:t>
      </w:r>
      <w:r>
        <w:t>凸窗透明部分</w:t>
      </w:r>
      <w:r>
        <w:tab/>
      </w:r>
      <w:r>
        <w:fldChar w:fldCharType="begin"/>
      </w:r>
      <w:r>
        <w:instrText xml:space="preserve"> PAGEREF _Toc8342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_Toc8956 </w:instrText>
      </w:r>
      <w:r>
        <w:fldChar w:fldCharType="separate"/>
      </w:r>
      <w:r>
        <w:rPr>
          <w:rFonts w:hint="eastAsia"/>
          <w:lang w:val="en-GB"/>
        </w:rPr>
        <w:t xml:space="preserve">3.17 </w:t>
      </w:r>
      <w:r>
        <w:t>凸窗板</w:t>
      </w:r>
      <w:r>
        <w:tab/>
      </w:r>
      <w:r>
        <w:fldChar w:fldCharType="begin"/>
      </w:r>
      <w:r>
        <w:instrText xml:space="preserve"> PAGEREF _Toc8956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_Toc20789 </w:instrText>
      </w:r>
      <w:r>
        <w:fldChar w:fldCharType="separate"/>
      </w:r>
      <w:r>
        <w:rPr>
          <w:rFonts w:hint="eastAsia"/>
          <w:lang w:val="en-GB"/>
        </w:rPr>
        <w:t xml:space="preserve">3.18 </w:t>
      </w:r>
      <w:r>
        <w:t>周边地面</w:t>
      </w:r>
      <w:r>
        <w:tab/>
      </w:r>
      <w:r>
        <w:fldChar w:fldCharType="begin"/>
      </w:r>
      <w:r>
        <w:instrText xml:space="preserve"> PAGEREF _Toc20789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3.18.1 </w:t>
      </w:r>
      <w:r>
        <w:t>周边地面构造一</w:t>
      </w:r>
      <w:r>
        <w:tab/>
      </w:r>
      <w:r>
        <w:fldChar w:fldCharType="begin"/>
      </w:r>
      <w:r>
        <w:instrText xml:space="preserve"> PAGEREF _Toc27390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_Toc8758 </w:instrText>
      </w:r>
      <w:r>
        <w:fldChar w:fldCharType="separate"/>
      </w:r>
      <w:r>
        <w:rPr>
          <w:rFonts w:hint="eastAsia"/>
          <w:lang w:val="en-GB"/>
        </w:rPr>
        <w:t xml:space="preserve">3.19 </w:t>
      </w:r>
      <w:r>
        <w:t>非周边地面</w:t>
      </w:r>
      <w:r>
        <w:tab/>
      </w:r>
      <w:r>
        <w:fldChar w:fldCharType="begin"/>
      </w:r>
      <w:r>
        <w:instrText xml:space="preserve"> PAGEREF _Toc8758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3.19.1 </w:t>
      </w:r>
      <w:r>
        <w:t>非周边地面构造一</w:t>
      </w:r>
      <w:r>
        <w:tab/>
      </w:r>
      <w:r>
        <w:fldChar w:fldCharType="begin"/>
      </w:r>
      <w:r>
        <w:instrText xml:space="preserve"> PAGEREF _Toc22784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_Toc8381 </w:instrText>
      </w:r>
      <w:r>
        <w:fldChar w:fldCharType="separate"/>
      </w:r>
      <w:r>
        <w:rPr>
          <w:rFonts w:hint="eastAsia"/>
          <w:lang w:val="en-GB"/>
        </w:rPr>
        <w:t xml:space="preserve">3.20 </w:t>
      </w:r>
      <w:r>
        <w:t>地下墙</w:t>
      </w:r>
      <w:r>
        <w:tab/>
      </w:r>
      <w:r>
        <w:fldChar w:fldCharType="begin"/>
      </w:r>
      <w:r>
        <w:instrText xml:space="preserve"> PAGEREF _Toc8381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_Toc16613 </w:instrText>
      </w:r>
      <w:r>
        <w:fldChar w:fldCharType="separate"/>
      </w:r>
      <w:r>
        <w:rPr>
          <w:rFonts w:hint="eastAsia"/>
          <w:lang w:val="en-GB"/>
        </w:rPr>
        <w:t xml:space="preserve">3.21 </w:t>
      </w:r>
      <w:r>
        <w:t>外窗气密性</w:t>
      </w:r>
      <w:r>
        <w:tab/>
      </w:r>
      <w:r>
        <w:fldChar w:fldCharType="begin"/>
      </w:r>
      <w:r>
        <w:instrText xml:space="preserve"> PAGEREF _Toc16613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 </w:instrText>
      </w:r>
      <w:r>
        <w:fldChar w:fldCharType="separate"/>
      </w:r>
      <w:r>
        <w:rPr>
          <w:rFonts w:hint="eastAsia"/>
          <w:lang w:val="en-GB"/>
        </w:rPr>
        <w:t xml:space="preserve">3.22 </w:t>
      </w:r>
      <w:r>
        <w:t>规定性指标检查结论</w:t>
      </w:r>
      <w:r>
        <w:tab/>
      </w:r>
      <w:r>
        <w:fldChar w:fldCharType="begin"/>
      </w:r>
      <w:r>
        <w:instrText xml:space="preserve"> PAGEREF _Toc1858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_Toc22748 </w:instrText>
      </w:r>
      <w:r>
        <w:fldChar w:fldCharType="separate"/>
      </w:r>
      <w:r>
        <w:rPr>
          <w:rFonts w:hint="eastAsia"/>
        </w:rPr>
        <w:t xml:space="preserve">4 </w:t>
      </w:r>
      <w:r>
        <w:t>热工性能权衡判断</w:t>
      </w:r>
      <w:r>
        <w:tab/>
      </w:r>
      <w:r>
        <w:fldChar w:fldCharType="begin"/>
      </w:r>
      <w:r>
        <w:instrText xml:space="preserve"> PAGEREF _Toc22748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_Toc27239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t>说明</w:t>
      </w:r>
      <w:r>
        <w:tab/>
      </w:r>
      <w:r>
        <w:fldChar w:fldCharType="begin"/>
      </w:r>
      <w:r>
        <w:instrText xml:space="preserve"> PAGEREF _Toc27239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t>综合权衡</w:t>
      </w:r>
      <w:r>
        <w:tab/>
      </w:r>
      <w:r>
        <w:fldChar w:fldCharType="begin"/>
      </w:r>
      <w:r>
        <w:instrText xml:space="preserve"> PAGEREF _Toc1388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_Toc23902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t>结论</w:t>
      </w:r>
      <w:r>
        <w:tab/>
      </w:r>
      <w:r>
        <w:fldChar w:fldCharType="begin"/>
      </w:r>
      <w:r>
        <w:instrText xml:space="preserve"> PAGEREF _Toc23902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76"/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2430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553"/>
        <w:gridCol w:w="670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辽宁-沈阳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gridSpan w:val="3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gridSpan w:val="3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分区"/>
            <w:r>
              <w:t>严寒C区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12199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24.4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天数"/>
            <w:r>
              <w:t>150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-4.50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6" w:name="水平太阳辐射平均强度"/>
            <w:r>
              <w:t>94</w:t>
            </w:r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7" w:name="南向太阳辐射平均强度"/>
            <w:r>
              <w:t>97</w:t>
            </w:r>
            <w:bookmarkEnd w:id="27"/>
          </w:p>
        </w:tc>
        <w:tc>
          <w:tcPr>
            <w:tcW w:w="1223" w:type="dxa"/>
            <w:gridSpan w:val="2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8" w:name="北向太阳辐射平均强度"/>
            <w:r>
              <w:t>32</w:t>
            </w:r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9" w:name="东向太阳辐射平均强度"/>
            <w:r>
              <w:t>54</w:t>
            </w:r>
            <w:bookmarkEnd w:id="29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30" w:name="西向太阳辐射平均强度"/>
            <w:r>
              <w:t>53</w:t>
            </w:r>
            <w:bookmarkEnd w:id="30"/>
          </w:p>
        </w:tc>
      </w:tr>
    </w:tbl>
    <w:p>
      <w:pPr>
        <w:pStyle w:val="2"/>
      </w:pPr>
      <w:bookmarkStart w:id="31" w:name="_Toc6406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《辽宁省居住建筑节能设计标准》(DB21/T2885-2017)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6516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31462"/>
      <w:r>
        <w:rPr>
          <w:kern w:val="2"/>
          <w:szCs w:val="24"/>
          <w:lang w:val="en-US"/>
        </w:rPr>
        <w:t>构造材料组成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刚性或块体保护层 20mm＋</w:t>
      </w:r>
      <w:r>
        <w:rPr>
          <w:color w:val="800000"/>
          <w:kern w:val="2"/>
          <w:szCs w:val="24"/>
          <w:lang w:val="en-US"/>
        </w:rPr>
        <w:t>挤塑聚苯板 120mm</w:t>
      </w:r>
      <w:r>
        <w:rPr>
          <w:color w:val="000000"/>
          <w:kern w:val="2"/>
          <w:szCs w:val="24"/>
          <w:lang w:val="en-US"/>
        </w:rPr>
        <w:t>＋防水层 20mm＋水泥砂浆 20mm＋找坡层 20mm＋混凝土多孔砖(190八孔砖）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水泥砂浆（2） 6mm＋</w:t>
      </w:r>
      <w:r>
        <w:rPr>
          <w:color w:val="800000"/>
          <w:kern w:val="2"/>
          <w:szCs w:val="24"/>
          <w:lang w:val="en-US"/>
        </w:rPr>
        <w:t>聚氨酯硬泡沫塑料（1） 110mm</w:t>
      </w:r>
      <w:r>
        <w:rPr>
          <w:color w:val="000000"/>
          <w:kern w:val="2"/>
          <w:szCs w:val="24"/>
          <w:lang w:val="en-US"/>
        </w:rPr>
        <w:t>＋石灰水泥砂浆 10mm＋</w:t>
      </w:r>
      <w:r>
        <w:rPr>
          <w:color w:val="800080"/>
          <w:kern w:val="2"/>
          <w:szCs w:val="24"/>
          <w:lang w:val="en-US"/>
        </w:rPr>
        <w:t>钢筋混凝土（2）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木、塑料—双层窗（双玻间距100～140）：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传热系数2.500W/m^2.K，自身遮阳系数0.750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非周边地面：</w:t>
      </w:r>
      <w:r>
        <w:rPr>
          <w:color w:val="0000FF"/>
          <w:kern w:val="2"/>
          <w:sz w:val="21"/>
          <w:szCs w:val="21"/>
          <w:lang w:val="en-US"/>
        </w:rPr>
        <w:t>非周边地面构造一：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25246"/>
      <w:r>
        <w:rPr>
          <w:color w:val="000000"/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刚性或块体保护层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找坡层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混凝土多孔砖(190八孔砖）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5.480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459.3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聚氨酯硬泡沫塑料（1）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1376.7</w:t>
            </w:r>
          </w:p>
        </w:tc>
        <w:tc>
          <w:tcPr>
            <w:vAlign w:val="center"/>
          </w:tcPr>
          <w:p>
            <w:r>
              <w:t>0.0234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0895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8765.06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37817.49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《辽宁省居住建筑节能设计标准》(DB21/T2885-2017)第3.1.5条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体形系数应符合表3.1.5的规定(s≤0.30)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9041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5897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721.44</w:t>
            </w:r>
          </w:p>
        </w:tc>
        <w:tc>
          <w:tcPr>
            <w:vAlign w:val="center"/>
          </w:tcPr>
          <w:p>
            <w:r>
              <w:t>2083.42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665.10</w:t>
            </w:r>
          </w:p>
        </w:tc>
        <w:tc>
          <w:tcPr>
            <w:vAlign w:val="center"/>
          </w:tcPr>
          <w:p>
            <w:r>
              <w:t>2101.06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156.09</w:t>
            </w:r>
          </w:p>
        </w:tc>
        <w:tc>
          <w:tcPr>
            <w:vAlign w:val="center"/>
          </w:tcPr>
          <w:p>
            <w:r>
              <w:t>1106.56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175.44</w:t>
            </w:r>
          </w:p>
        </w:tc>
        <w:tc>
          <w:tcPr>
            <w:vAlign w:val="center"/>
          </w:tcPr>
          <w:p>
            <w:r>
              <w:t>1082.37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r>
              <w:t>1718.07</w:t>
            </w:r>
          </w:p>
        </w:tc>
        <w:tc>
          <w:tcPr>
            <w:vAlign w:val="center"/>
          </w:tcPr>
          <w:p>
            <w:r>
              <w:t>6373.41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《辽宁省居住建筑节能设计标准》(DB21/T2885-2017)第4.1.4条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窗墙面积比不应超过表4.1.4规定的限值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7035"/>
      <w:r>
        <w:rPr>
          <w:color w:val="000000"/>
          <w:kern w:val="2"/>
          <w:szCs w:val="24"/>
          <w:lang w:val="en-US"/>
        </w:rPr>
        <w:t>屋顶构造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045"/>
      <w:r>
        <w:rPr>
          <w:color w:val="000000"/>
          <w:kern w:val="2"/>
          <w:szCs w:val="24"/>
          <w:lang w:val="en-US"/>
        </w:rPr>
        <w:t>屋顶构造一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刚性或块体保护层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1.14</w:t>
            </w:r>
          </w:p>
        </w:tc>
        <w:tc>
          <w:tcPr>
            <w:vAlign w:val="center"/>
          </w:tcPr>
          <w:p>
            <w:r>
              <w:t>3.190</w:t>
            </w:r>
          </w:p>
        </w:tc>
        <w:tc>
          <w:tcPr>
            <w:vAlign w:val="center"/>
          </w:tcPr>
          <w:p>
            <w:r>
              <w:t>1.262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找坡层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混凝土多孔砖(190八孔砖）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5.480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0.194</w:t>
            </w:r>
          </w:p>
        </w:tc>
        <w:tc>
          <w:tcPr>
            <w:vAlign w:val="center"/>
          </w:tcPr>
          <w:p>
            <w:r>
              <w:t>1.061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3.405</w:t>
            </w:r>
          </w:p>
        </w:tc>
        <w:tc>
          <w:tcPr>
            <w:vAlign w:val="center"/>
          </w:tcPr>
          <w:p>
            <w:r>
              <w:t>2.567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黑龙江居住DB23-T120-2001附录D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《辽宁省居住建筑节能设计标准》(DB21/T2885-2017)第4.2.1条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屋顶热工应当符合表4.2.1-1、4.2.1-2的要求(K≤0.25)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887"/>
      <w:r>
        <w:rPr>
          <w:color w:val="000000"/>
          <w:kern w:val="2"/>
          <w:szCs w:val="24"/>
          <w:lang w:val="en-US"/>
        </w:rPr>
        <w:t>外墙构造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5098"/>
      <w:r>
        <w:rPr>
          <w:color w:val="000000"/>
          <w:kern w:val="2"/>
          <w:szCs w:val="24"/>
          <w:lang w:val="en-US"/>
        </w:rPr>
        <w:t>外墙相关构造</w:t>
      </w:r>
      <w:bookmarkEnd w:id="43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聚氨酯硬泡沫塑料（1）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3.986</w:t>
            </w:r>
          </w:p>
        </w:tc>
        <w:tc>
          <w:tcPr>
            <w:vAlign w:val="center"/>
          </w:tcPr>
          <w:p>
            <w:r>
              <w:t>1.329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4.118</w:t>
            </w:r>
          </w:p>
        </w:tc>
        <w:tc>
          <w:tcPr>
            <w:vAlign w:val="center"/>
          </w:tcPr>
          <w:p>
            <w:r>
              <w:t>3.503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864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4"/>
    </w:p>
    <w:p>
      <w:pPr>
        <w:spacing w:line="320" w:lineRule="exact"/>
        <w:jc w:val="center"/>
        <w:rPr>
          <w:rFonts w:asciiTheme="majorEastAsia" w:hAnsiTheme="majorEastAsia" w:eastAsiaTheme="majorEastAsia"/>
          <w:szCs w:val="21"/>
        </w:rPr>
      </w:pPr>
      <w:bookmarkStart w:id="45" w:name="辽宁居建2017外墙K修正系数表"/>
      <w:r>
        <w:rPr>
          <w:rFonts w:hint="eastAsia" w:asciiTheme="majorEastAsia" w:hAnsiTheme="majorEastAsia" w:eastAsiaTheme="majorEastAsia"/>
          <w:bCs/>
          <w:szCs w:val="21"/>
        </w:rPr>
        <w:t>外墙主断面传热系数的修正系数</w:t>
      </w:r>
      <m:oMath>
        <m:r>
          <m:rPr>
            <m:sty m:val="p"/>
          </m:rPr>
          <w:rPr>
            <w:rFonts w:ascii="Cambria Math" w:hAnsi="Cambria Math" w:eastAsiaTheme="majorEastAsia"/>
            <w:szCs w:val="21"/>
          </w:rPr>
          <m:t>φ</m:t>
        </m:r>
      </m:oMath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pacing w:val="-12"/>
                <w:szCs w:val="21"/>
              </w:rPr>
              <w:t>1.4</w:t>
            </w:r>
          </w:p>
        </w:tc>
      </w:tr>
    </w:tbl>
    <w:p>
      <w:pPr>
        <w:rPr>
          <w:rFonts w:cs="宋体" w:asciiTheme="majorEastAsia" w:hAnsiTheme="majorEastAsia" w:eastAsiaTheme="majorEastAsia"/>
          <w:sz w:val="18"/>
          <w:szCs w:val="18"/>
          <w:lang w:val="en-US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9813"/>
      <w:r>
        <w:rPr>
          <w:color w:val="000000"/>
          <w:kern w:val="2"/>
          <w:szCs w:val="24"/>
          <w:lang w:val="en-US"/>
        </w:rPr>
        <w:t>外墙平均热工特性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1361.98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1435.96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950.48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906.93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4655.34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《辽宁省居住建筑节能设计标准》(DB21/T2885-2017)第4.2.1条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外墙热工应当符合表4.2.1-1、4.2.1-2的要求(K≤0.35)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587"/>
      <w:r>
        <w:rPr>
          <w:color w:val="000000"/>
          <w:kern w:val="2"/>
          <w:szCs w:val="24"/>
          <w:lang w:val="en-US"/>
        </w:rPr>
        <w:t>挑空楼板构造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483"/>
      <w:r>
        <w:rPr>
          <w:color w:val="000000"/>
          <w:kern w:val="2"/>
          <w:szCs w:val="24"/>
          <w:lang w:val="en-US"/>
        </w:rPr>
        <w:t>挑空楼板构造一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《辽宁省居住建筑节能设计标准》(DB21/T2885-2017)第4.2.1条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挑空楼板传热系数应符合表4.2.1-1、4.2.1-2的要求(K≤0.35)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0477"/>
      <w:r>
        <w:rPr>
          <w:color w:val="000000"/>
          <w:kern w:val="2"/>
          <w:szCs w:val="24"/>
          <w:lang w:val="en-US"/>
        </w:rPr>
        <w:t>非采暖地下室顶板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0361"/>
      <w:r>
        <w:rPr>
          <w:color w:val="000000"/>
          <w:kern w:val="2"/>
          <w:szCs w:val="24"/>
          <w:lang w:val="en-US"/>
        </w:rPr>
        <w:t>分隔供暖与非供暖空间的楼板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4210"/>
      <w:r>
        <w:rPr>
          <w:color w:val="000000"/>
          <w:kern w:val="2"/>
          <w:szCs w:val="24"/>
          <w:lang w:val="en-US"/>
        </w:rPr>
        <w:t>非透明外门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2" w:name="_Toc8556"/>
      <w:r>
        <w:t>采暖与非采暖户墙</w:t>
      </w:r>
      <w:bookmarkEnd w:id="52"/>
    </w:p>
    <w:p>
      <w:r>
        <w:tab/>
      </w:r>
      <w:r>
        <w:t>本工程无此项内容</w:t>
      </w:r>
    </w:p>
    <w:p>
      <w:pPr>
        <w:pStyle w:val="4"/>
      </w:pPr>
      <w:bookmarkStart w:id="53" w:name="_Toc32250"/>
      <w:r>
        <w:t>不采暖楼梯间户门</w:t>
      </w:r>
      <w:bookmarkEnd w:id="53"/>
    </w:p>
    <w:p/>
    <w:p>
      <w:r>
        <w:tab/>
      </w:r>
      <w:r>
        <w:t>本工程无此项内容</w:t>
      </w:r>
    </w:p>
    <w:p>
      <w:pPr>
        <w:pStyle w:val="4"/>
      </w:pPr>
      <w:bookmarkStart w:id="54" w:name="_Toc30894"/>
      <w:r>
        <w:t>变形缝构造</w:t>
      </w:r>
      <w:bookmarkEnd w:id="54"/>
    </w:p>
    <w:p>
      <w:r>
        <w:tab/>
      </w:r>
      <w:r>
        <w:t>本工程无此项内容</w:t>
      </w:r>
    </w:p>
    <w:p>
      <w:pPr>
        <w:pStyle w:val="4"/>
      </w:pPr>
      <w:bookmarkStart w:id="55" w:name="_Toc6254"/>
      <w:r>
        <w:t>外窗热工</w:t>
      </w:r>
      <w:bookmarkEnd w:id="55"/>
    </w:p>
    <w:p>
      <w:pPr>
        <w:pStyle w:val="5"/>
      </w:pPr>
      <w:bookmarkStart w:id="56" w:name="_Toc1732"/>
      <w: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木、塑料—双层窗（双玻间距100～140）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辽宁居住规范47页</w:t>
            </w:r>
          </w:p>
        </w:tc>
      </w:tr>
    </w:tbl>
    <w:p>
      <w:pPr>
        <w:pStyle w:val="5"/>
      </w:pPr>
      <w:bookmarkStart w:id="57" w:name="_Toc7020"/>
      <w:r>
        <w:t>平均传热系数</w:t>
      </w:r>
      <w:bookmarkEnd w:id="57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C0515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20.250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C0516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C1315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C3215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143</w:t>
            </w:r>
          </w:p>
        </w:tc>
        <w:tc>
          <w:tcPr>
            <w:vAlign w:val="center"/>
          </w:tcPr>
          <w:p>
            <w:r>
              <w:t>4.770</w:t>
            </w:r>
          </w:p>
        </w:tc>
        <w:tc>
          <w:tcPr>
            <w:vAlign w:val="center"/>
          </w:tcPr>
          <w:p>
            <w:r>
              <w:t>682.110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721.440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C0515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C0516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C0916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C1315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C3115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4.770</w:t>
            </w:r>
          </w:p>
        </w:tc>
        <w:tc>
          <w:tcPr>
            <w:vAlign w:val="center"/>
          </w:tcPr>
          <w:p>
            <w:r>
              <w:t>228.960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C3115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4.590</w:t>
            </w:r>
          </w:p>
        </w:tc>
        <w:tc>
          <w:tcPr>
            <w:vAlign w:val="center"/>
          </w:tcPr>
          <w:p>
            <w:r>
              <w:t>27.540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C3215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4.770</w:t>
            </w:r>
          </w:p>
        </w:tc>
        <w:tc>
          <w:tcPr>
            <w:vAlign w:val="center"/>
          </w:tcPr>
          <w:p>
            <w:r>
              <w:t>228.960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4.950</w:t>
            </w:r>
          </w:p>
        </w:tc>
        <w:tc>
          <w:tcPr>
            <w:vAlign w:val="center"/>
          </w:tcPr>
          <w:p>
            <w:r>
              <w:t>29.700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661.500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C0516</w:t>
            </w:r>
          </w:p>
        </w:tc>
        <w:tc>
          <w:tcPr>
            <w:vAlign w:val="center"/>
          </w:tcPr>
          <w:p>
            <w:r>
              <w:t>4~6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C1115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1.590</w:t>
            </w:r>
          </w:p>
        </w:tc>
        <w:tc>
          <w:tcPr>
            <w:vAlign w:val="center"/>
          </w:tcPr>
          <w:p>
            <w:r>
              <w:t>27.030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84.600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2.127</w:t>
            </w:r>
          </w:p>
        </w:tc>
        <w:tc>
          <w:tcPr>
            <w:vAlign w:val="center"/>
          </w:tcPr>
          <w:p>
            <w:r>
              <w:t>2.127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2.537</w:t>
            </w:r>
          </w:p>
        </w:tc>
        <w:tc>
          <w:tcPr>
            <w:vAlign w:val="center"/>
          </w:tcPr>
          <w:p>
            <w:r>
              <w:t>2.537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C1216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1.920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141.686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C0516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C1115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1.590</w:t>
            </w:r>
          </w:p>
        </w:tc>
        <w:tc>
          <w:tcPr>
            <w:vAlign w:val="center"/>
          </w:tcPr>
          <w:p>
            <w:r>
              <w:t>22.260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5.190</w:t>
            </w:r>
          </w:p>
        </w:tc>
        <w:tc>
          <w:tcPr>
            <w:vAlign w:val="center"/>
          </w:tcPr>
          <w:p>
            <w:r>
              <w:t>10.380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5.370</w:t>
            </w:r>
          </w:p>
        </w:tc>
        <w:tc>
          <w:tcPr>
            <w:vAlign w:val="center"/>
          </w:tcPr>
          <w:p>
            <w:r>
              <w:t>10.740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C3815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5.730</w:t>
            </w:r>
          </w:p>
        </w:tc>
        <w:tc>
          <w:tcPr>
            <w:vAlign w:val="center"/>
          </w:tcPr>
          <w:p>
            <w:r>
              <w:t>11.460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157.440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</w:tbl>
    <w:p/>
    <w:p>
      <w:pPr>
        <w:pStyle w:val="5"/>
      </w:pPr>
      <w:bookmarkStart w:id="58" w:name="_Toc9512"/>
      <w: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721.44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K≤1.80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661.50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K≤1.80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141.69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K≤2.00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157.44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K≤2.00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1682.07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《辽宁省居住建筑节能设计标准》(DB21/T2885-2017)第4.2.1条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各朝向外窗传热系数应满足表4.2.1-1、4.2.1-2的要求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r>
        <w:t>注：本表所统计的外窗不含凸窗。</w:t>
      </w:r>
    </w:p>
    <w:p>
      <w:pPr>
        <w:pStyle w:val="4"/>
      </w:pPr>
      <w:bookmarkStart w:id="59" w:name="_Toc15565"/>
      <w:r>
        <w:t>屋顶透光部分</w:t>
      </w:r>
      <w:bookmarkEnd w:id="59"/>
    </w:p>
    <w:p>
      <w:pPr>
        <w:pStyle w:val="5"/>
      </w:pPr>
      <w:bookmarkStart w:id="60" w:name="_Toc29569"/>
      <w:r>
        <w:t>平屋顶透明部分与平屋顶面积比</w:t>
      </w:r>
      <w:bookmarkEnd w:id="60"/>
    </w:p>
    <w:p>
      <w:pPr>
        <w:pStyle w:val="5"/>
      </w:pPr>
      <w:bookmarkStart w:id="61" w:name="_Toc16874"/>
      <w:r>
        <w:t>坡屋顶透明部分与房间地面面积比</w:t>
      </w:r>
      <w:bookmarkEnd w:id="61"/>
    </w:p>
    <w:p>
      <w:pPr>
        <w:pStyle w:val="5"/>
      </w:pPr>
      <w:bookmarkStart w:id="62" w:name="_Toc31956"/>
      <w:r>
        <w:t>屋顶透光部分类型</w:t>
      </w:r>
      <w:bookmarkEnd w:id="62"/>
    </w:p>
    <w:p>
      <w:r>
        <w:tab/>
      </w:r>
      <w:r>
        <w:t>本工程无此项内容</w:t>
      </w:r>
    </w:p>
    <w:p>
      <w:pPr>
        <w:pStyle w:val="4"/>
      </w:pPr>
      <w:bookmarkStart w:id="63" w:name="_Toc8342"/>
      <w:r>
        <w:t>凸窗透明部分</w:t>
      </w:r>
      <w:bookmarkEnd w:id="63"/>
    </w:p>
    <w:p/>
    <w:p>
      <w:r>
        <w:tab/>
      </w:r>
      <w:r>
        <w:t>本工程无此项内容</w:t>
      </w:r>
    </w:p>
    <w:p>
      <w:pPr>
        <w:pStyle w:val="4"/>
      </w:pPr>
      <w:bookmarkStart w:id="64" w:name="_Toc8956"/>
      <w:r>
        <w:t>凸窗板</w:t>
      </w:r>
      <w:bookmarkEnd w:id="64"/>
    </w:p>
    <w:p>
      <w:r>
        <w:tab/>
      </w:r>
      <w:r>
        <w:t>本工程无此项内容</w:t>
      </w:r>
    </w:p>
    <w:p>
      <w:pPr>
        <w:pStyle w:val="4"/>
      </w:pPr>
      <w:bookmarkStart w:id="65" w:name="_Toc20789"/>
      <w:r>
        <w:t>周边地面</w:t>
      </w:r>
      <w:bookmarkEnd w:id="65"/>
    </w:p>
    <w:p>
      <w:pPr>
        <w:pStyle w:val="5"/>
      </w:pPr>
      <w:bookmarkStart w:id="66" w:name="_Toc27390"/>
      <w:r>
        <w:t>周边地面构造一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《辽宁省居住建筑节能设计标准》(DB21/T2885-2017)第4.2.1条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周边地面的热阻不应超过表4.2.1-1、4.2.1-2的限值(R≥1.10)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7" w:name="_Toc8758"/>
      <w:r>
        <w:t>非周边地面</w:t>
      </w:r>
      <w:bookmarkEnd w:id="67"/>
    </w:p>
    <w:p>
      <w:pPr>
        <w:pStyle w:val="5"/>
      </w:pPr>
      <w:bookmarkStart w:id="68" w:name="_Toc22784"/>
      <w:r>
        <w:t>非周边地面构造一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0.17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9" w:name="_Toc8381"/>
      <w:r>
        <w:t>地下墙</w:t>
      </w:r>
      <w:bookmarkEnd w:id="69"/>
    </w:p>
    <w:p>
      <w:r>
        <w:tab/>
      </w:r>
      <w:r>
        <w:t>本工程无此项内容</w:t>
      </w:r>
    </w:p>
    <w:p>
      <w:pPr>
        <w:pStyle w:val="4"/>
      </w:pPr>
      <w:bookmarkStart w:id="70" w:name="_Toc16613"/>
      <w:r>
        <w:t>外窗气密性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《辽宁省居住建筑节能设计标准》(DB21/T2885-2017)第4.2.8条，分级与检测方法《建筑外门窗气密、水密、抗风压性能分级及检测方法》（GB/T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外窗气密性不应低于《建筑外窗气密性能分级及检测方法》（GB/T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71" w:name="_Toc1858"/>
      <w:r>
        <w:t>规定性指标检查结论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屋顶透光部分类型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</w:tbl>
    <w:p>
      <w:pPr>
        <w:pStyle w:val="2"/>
      </w:pPr>
      <w:bookmarkStart w:id="72" w:name="_Toc22748"/>
      <w:r>
        <w:t>热工性能权衡判断</w:t>
      </w:r>
      <w:bookmarkEnd w:id="72"/>
    </w:p>
    <w:p>
      <w:pPr>
        <w:pStyle w:val="4"/>
      </w:pPr>
      <w:bookmarkStart w:id="73" w:name="_Toc27239"/>
      <w:r>
        <w:t>说明</w:t>
      </w:r>
      <w:bookmarkEnd w:id="73"/>
    </w:p>
    <w:p>
      <w:r>
        <w:t>本建筑按《辽宁省居住建筑节能设计标准》(DB21／T2885-2017)之规定进行强制性条文和必须满足条款的规定性指标检查，结果未能达标，按标准规定继续进行热工性能权衡判断。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74" w:name="_Toc1388"/>
      <w:r>
        <w:t>综合权衡</w:t>
      </w:r>
      <w:bookmarkEnd w:id="74"/>
    </w:p>
    <w:p>
      <w:r>
        <w:t>注：计算过程见【能耗计算】耗热量计算表.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vAlign w:val="center"/>
          </w:tcPr>
          <w:p>
            <w:r>
              <w:t>12.27</w:t>
            </w:r>
          </w:p>
        </w:tc>
        <w:tc>
          <w:tcPr>
            <w:vAlign w:val="center"/>
          </w:tcPr>
          <w:p>
            <w:r>
              <w:t>13.10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vAlign w:val="center"/>
          </w:tcPr>
          <w:p>
            <w:r>
              <w:t>8.87</w:t>
            </w:r>
          </w:p>
        </w:tc>
        <w:tc>
          <w:tcPr>
            <w:vAlign w:val="center"/>
          </w:tcPr>
          <w:p>
            <w:r>
              <w:t>9.47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《辽宁省居住建筑节能设计标准》(DB21/T2885-2017)第4.3.2条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居住建筑的建筑物耗热量指标不应大于表4.3.2规定的限值。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5" w:name="_Toc23902"/>
      <w:r>
        <w:t>结论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5" o:spt="75" type="#_x0000_t75" style="height:12.75pt;width:6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0D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严寒寒冷2010报告书.dotx</Template>
  <Company>ths</Company>
  <Pages>4</Pages>
  <Words>898</Words>
  <Characters>5122</Characters>
  <Lines>42</Lines>
  <Paragraphs>12</Paragraphs>
  <TotalTime>0</TotalTime>
  <ScaleCrop>false</ScaleCrop>
  <LinksUpToDate>false</LinksUpToDate>
  <CharactersWithSpaces>6008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2017-02-23T06:14:00Z</dcterms:created>
  <dc:creator>why</dc:creator>
  <cp:lastModifiedBy>铮铮日上</cp:lastModifiedBy>
  <cp:lastPrinted>2411-12-31T16:00:00Z</cp:lastPrinted>
  <dcterms:modified xsi:type="dcterms:W3CDTF">2022-12-16T17:02:26Z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BF17609D6BC94C4AA128503E047C5378</vt:lpwstr>
  </property>
</Properties>
</file>