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8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项目经纬度为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东经:119.28, 北纬:26.08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太阳能年总辐射量在</w:t>
            </w:r>
            <w:r>
              <w:rPr>
                <w:rFonts w:hint="default" w:ascii="Times New Roman" w:hAnsi="Times New Roman" w:eastAsia="宋体" w:cs="Times New Roman"/>
              </w:rPr>
              <w:t>52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default" w:ascii="Times New Roman" w:hAnsi="Times New Roman" w:eastAsia="宋体" w:cs="Times New Roman"/>
              </w:rPr>
              <w:t>5</w:t>
            </w:r>
            <w:r>
              <w:rPr>
                <w:rFonts w:hint="eastAsia" w:ascii="宋体" w:hAnsi="宋体" w:eastAsia="宋体" w:cs="宋体"/>
              </w:rPr>
              <w:t>×</w:t>
            </w:r>
            <w:r>
              <w:rPr>
                <w:rFonts w:hint="default" w:ascii="Times New Roman" w:hAnsi="Times New Roman" w:eastAsia="宋体" w:cs="Times New Roman"/>
              </w:rPr>
              <w:t>108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>J</w:t>
            </w:r>
            <w:r>
              <w:rPr>
                <w:rFonts w:hint="eastAsia" w:ascii="宋体" w:hAnsi="宋体" w:eastAsia="宋体" w:cs="宋体"/>
              </w:rPr>
              <w:t>／</w:t>
            </w:r>
            <w:r>
              <w:rPr>
                <w:rFonts w:hint="default" w:ascii="Times New Roman" w:hAnsi="Times New Roman" w:eastAsia="宋体" w:cs="Times New Roman"/>
              </w:rPr>
              <w:t>m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</w:rPr>
              <w:t>左右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496"/>
      <w:bookmarkStart w:id="2" w:name="_Toc9945355"/>
      <w:bookmarkStart w:id="3" w:name="_Toc9945213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947" w:type="dxa"/>
          </w:tcPr>
          <w:tbl>
            <w:tblPr>
              <w:tblW w:w="8825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"/>
              <w:gridCol w:w="992"/>
              <w:gridCol w:w="742"/>
              <w:gridCol w:w="257"/>
              <w:gridCol w:w="1043"/>
              <w:gridCol w:w="513"/>
              <w:gridCol w:w="726"/>
              <w:gridCol w:w="2011"/>
              <w:gridCol w:w="240"/>
              <w:gridCol w:w="1035"/>
              <w:gridCol w:w="10"/>
              <w:gridCol w:w="1236"/>
              <w:gridCol w:w="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540" w:hRule="atLeast"/>
              </w:trPr>
              <w:tc>
                <w:tcPr>
                  <w:tcW w:w="628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AEEF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BIPV光伏瓦片发电项目产能预估报告书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255" w:hRule="atLeast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报告编号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报告日期</w:t>
                  </w:r>
                </w:p>
              </w:tc>
              <w:tc>
                <w:tcPr>
                  <w:tcW w:w="32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年0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05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" w:type="dxa"/>
                <w:trHeight w:val="285" w:hRule="atLeast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5" w:hRule="atLeast"/>
              </w:trPr>
              <w:tc>
                <w:tcPr>
                  <w:tcW w:w="6294" w:type="dxa"/>
                  <w:gridSpan w:val="8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DAEEF3"/>
                  <w:noWrap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场地信息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5" w:hRule="atLeast"/>
              </w:trPr>
              <w:tc>
                <w:tcPr>
                  <w:tcW w:w="2001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AEEF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地点</w:t>
                  </w:r>
                </w:p>
              </w:tc>
              <w:tc>
                <w:tcPr>
                  <w:tcW w:w="155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福州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经纬度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东经</w:t>
                  </w:r>
                  <w:r>
                    <w:rPr>
                      <w:rStyle w:val="18"/>
                      <w:rFonts w:eastAsia="宋体"/>
                      <w:bdr w:val="none" w:color="auto" w:sz="0" w:space="0"/>
                      <w:lang w:val="en-US" w:eastAsia="zh-CN" w:bidi="ar"/>
                    </w:rPr>
                    <w:t xml:space="preserve">:119.28, </w:t>
                  </w:r>
                  <w:r>
                    <w:rPr>
                      <w:rStyle w:val="19"/>
                      <w:bdr w:val="none" w:color="auto" w:sz="0" w:space="0"/>
                      <w:lang w:val="en-US" w:eastAsia="zh-CN" w:bidi="ar"/>
                    </w:rPr>
                    <w:t>北纬</w:t>
                  </w:r>
                  <w:r>
                    <w:rPr>
                      <w:rStyle w:val="18"/>
                      <w:rFonts w:eastAsia="宋体"/>
                      <w:bdr w:val="none" w:color="auto" w:sz="0" w:space="0"/>
                      <w:lang w:val="en-US" w:eastAsia="zh-CN" w:bidi="ar"/>
                    </w:rPr>
                    <w:t>:26.08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5" w:hRule="atLeast"/>
              </w:trPr>
              <w:tc>
                <w:tcPr>
                  <w:tcW w:w="2001" w:type="dxa"/>
                  <w:gridSpan w:val="4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DAEEF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太阳能年总辐射量</w:t>
                  </w:r>
                </w:p>
              </w:tc>
              <w:tc>
                <w:tcPr>
                  <w:tcW w:w="4293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Style w:val="20"/>
                      <w:rFonts w:eastAsia="宋体"/>
                      <w:bdr w:val="none" w:color="auto" w:sz="0" w:space="0"/>
                      <w:lang w:val="en-US" w:eastAsia="zh-CN" w:bidi="ar"/>
                    </w:rPr>
                    <w:t>52.5×108 J</w:t>
                  </w:r>
                  <w:r>
                    <w:rPr>
                      <w:rStyle w:val="21"/>
                      <w:bdr w:val="none" w:color="auto" w:sz="0" w:space="0"/>
                      <w:lang w:val="en-US" w:eastAsia="zh-CN" w:bidi="ar"/>
                    </w:rPr>
                    <w:t>／</w:t>
                  </w:r>
                  <w:r>
                    <w:rPr>
                      <w:rStyle w:val="20"/>
                      <w:rFonts w:eastAsia="宋体"/>
                      <w:bdr w:val="none" w:color="auto" w:sz="0" w:space="0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bottom"/>
                </w:tcPr>
                <w:p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bookmarkStart w:id="6" w:name="_GoBack"/>
            <w:bookmarkEnd w:id="6"/>
          </w:p>
          <w:p>
            <w:pPr>
              <w:pStyle w:val="2"/>
              <w:widowControl w:val="0"/>
              <w:jc w:val="both"/>
              <w:rPr>
                <w:color w:val="000000"/>
              </w:rPr>
            </w:pPr>
            <w:bookmarkStart w:id="5" w:name="_Toc128934844"/>
            <w:r>
              <w:rPr>
                <w:color w:val="000000"/>
              </w:rPr>
              <w:t>光伏发电</w:t>
            </w:r>
            <w:bookmarkEnd w:id="5"/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日照辐照量(kJ/㎡.天)：12450，年运行天数：200</w:t>
            </w:r>
          </w:p>
          <w:tbl>
            <w:tblPr>
              <w:tblStyle w:val="8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"/>
              <w:gridCol w:w="1131"/>
              <w:gridCol w:w="1132"/>
              <w:gridCol w:w="1698"/>
              <w:gridCol w:w="1132"/>
              <w:gridCol w:w="1432"/>
              <w:gridCol w:w="139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光伏板面积(㎡)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</w:t>
                  </w:r>
                  <w:r>
                    <w:br w:type="textWrapping"/>
                  </w:r>
                  <w:r>
                    <w:t>发电参数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光伏系统效率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光伏电池性能</w:t>
                  </w:r>
                  <w:r>
                    <w:br w:type="textWrapping"/>
                  </w:r>
                  <w:r>
                    <w:t>衰减修正系数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全年供电</w:t>
                  </w:r>
                  <w:r>
                    <w:br w:type="textWrapping"/>
                  </w:r>
                  <w:r>
                    <w:t>(kWh/a)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可减少碳排放量(tCO2/a)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vAlign w:val="center"/>
                </w:tcPr>
                <w:p>
                  <w:r>
                    <w:t>500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99600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0.581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9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57.868</w:t>
                  </w:r>
                </w:p>
              </w:tc>
            </w:tr>
          </w:tbl>
          <w:p/>
          <w:tbl>
            <w:tblPr>
              <w:tblW w:w="8815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6"/>
              <w:gridCol w:w="681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9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DAEEF3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计算依据</w:t>
                  </w:r>
                </w:p>
              </w:tc>
              <w:tc>
                <w:tcPr>
                  <w:tcW w:w="6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Style w:val="21"/>
                      <w:bdr w:val="none" w:color="auto" w:sz="0" w:space="0"/>
                      <w:lang w:val="en-US" w:eastAsia="zh-CN" w:bidi="ar"/>
                    </w:rPr>
                    <w:t>参照标准《光伏发电站设计规范》</w:t>
                  </w:r>
                  <w:r>
                    <w:rPr>
                      <w:rStyle w:val="20"/>
                      <w:rFonts w:eastAsia="宋体"/>
                      <w:bdr w:val="none" w:color="auto" w:sz="0" w:space="0"/>
                      <w:lang w:val="en-US" w:eastAsia="zh-CN" w:bidi="ar"/>
                    </w:rPr>
                    <w:t>GB 50797-2012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365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10"/>
    <w:semiHidden/>
    <w:qFormat/>
    <w:uiPriority w:val="99"/>
    <w:rPr>
      <w:color w:val="808080"/>
    </w:rPr>
  </w:style>
  <w:style w:type="table" w:customStyle="1" w:styleId="15">
    <w:name w:val="网格型1"/>
    <w:basedOn w:val="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10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uiPriority w:val="9"/>
    <w:rPr>
      <w:b/>
      <w:bCs/>
      <w:sz w:val="32"/>
      <w:szCs w:val="32"/>
    </w:rPr>
  </w:style>
  <w:style w:type="character" w:customStyle="1" w:styleId="18">
    <w:name w:val="font91"/>
    <w:basedOn w:val="10"/>
    <w:uiPriority w:val="0"/>
    <w:rPr>
      <w:rFonts w:hint="default" w:ascii="Arial" w:hAnsi="Arial" w:cs="Arial"/>
      <w:color w:val="333333"/>
      <w:sz w:val="21"/>
      <w:szCs w:val="21"/>
      <w:u w:val="none"/>
    </w:rPr>
  </w:style>
  <w:style w:type="character" w:customStyle="1" w:styleId="19">
    <w:name w:val="font31"/>
    <w:basedOn w:val="10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20">
    <w:name w:val="font01"/>
    <w:basedOn w:val="10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0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8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723</Characters>
  <Lines>6</Lines>
  <Paragraphs>1</Paragraphs>
  <TotalTime>0</TotalTime>
  <ScaleCrop>false</ScaleCrop>
  <LinksUpToDate>false</LinksUpToDate>
  <CharactersWithSpaces>804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Eunice</cp:lastModifiedBy>
  <dcterms:modified xsi:type="dcterms:W3CDTF">2023-03-05T17:37:43Z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73EDB8F604DA448593A35BE565B36A34</vt:lpwstr>
  </property>
</Properties>
</file>