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IV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福州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 w:ascii="Arial" w:hAnsi="Arial" w:eastAsia="Arial" w:cs="Arial"/>
              <w:i w:val="0"/>
              <w:iCs w:val="0"/>
              <w:caps w:val="0"/>
              <w:color w:val="191919"/>
              <w:spacing w:val="0"/>
              <w:sz w:val="24"/>
              <w:szCs w:val="24"/>
              <w:u w:val="single"/>
              <w:shd w:val="clear" w:fill="FFFFFF"/>
            </w:rPr>
            <w:t>至少应有1冋科学教室或生物实验室的室内能在冬季获得直射阳光</w:t>
          </w:r>
          <w:r>
            <w:rPr>
              <w:rFonts w:hint="eastAsia"/>
              <w:u w:val="single"/>
            </w:rPr>
            <w:t xml:space="preserve">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《中小学校设计规范》GB 50099-2011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20310" cy="3546475"/>
                  <wp:effectExtent l="0" t="0" r="8890" b="15875"/>
                  <wp:docPr id="2" name="图片 2" descr="日照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日照分析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310" cy="354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日照分析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5257800" cy="3781425"/>
                  <wp:effectExtent l="0" t="0" r="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22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建筑根据太阳轨迹和建筑阴影区域，以短边应对西晒，南侧以挑檐和横向百叶进行遮阳处理;冬季由于太阳高度角的改变，以及改变可活动遮阳百叶使建筑内部获得充足日照，檐下空间冬暖夏凉。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2405" cy="2227580"/>
                  <wp:effectExtent l="0" t="0" r="4445" b="1270"/>
                  <wp:docPr id="1" name="图片 1" descr="体块演变及日照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体块演变及日照分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222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体块演变及日照分析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通过Ecotect日照分析模拟可以得到:随着体块的拆解、形式的演变，最终得到了能有效缓解室内热环境的建筑。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1FB67254"/>
    <w:rsid w:val="2E0071F2"/>
    <w:rsid w:val="381466C2"/>
    <w:rsid w:val="43D719C3"/>
    <w:rsid w:val="5F0C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419</Characters>
  <Lines>2</Lines>
  <Paragraphs>1</Paragraphs>
  <TotalTime>0</TotalTime>
  <ScaleCrop>false</ScaleCrop>
  <LinksUpToDate>false</LinksUpToDate>
  <CharactersWithSpaces>486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Eunice</cp:lastModifiedBy>
  <dcterms:modified xsi:type="dcterms:W3CDTF">2023-03-05T20:34:45Z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F176F6C59BBF4661B66C2E77F9D1E751</vt:lpwstr>
  </property>
</Properties>
</file>