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北海</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T15931678182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68" w:name="_GoBack"/>
      <w:bookmarkEnd w:id="68"/>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_Toc1338 </w:instrText>
      </w:r>
      <w:r>
        <w:rPr>
          <w:rFonts w:ascii="宋体" w:hAnsi="宋体"/>
          <w:bCs w:val="0"/>
          <w:caps/>
        </w:rPr>
        <w:fldChar w:fldCharType="separate"/>
      </w:r>
      <w:r>
        <w:rPr>
          <w:rFonts w:hint="eastAsia"/>
        </w:rPr>
        <w:t>1 住区概况</w:t>
      </w:r>
      <w:r>
        <w:tab/>
      </w:r>
      <w:r>
        <w:fldChar w:fldCharType="begin"/>
      </w:r>
      <w:r>
        <w:instrText xml:space="preserve"> PAGEREF _Toc1338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_Toc25745 </w:instrText>
      </w:r>
      <w:r>
        <w:fldChar w:fldCharType="separate"/>
      </w:r>
      <w:r>
        <w:rPr>
          <w:rFonts w:hint="eastAsia"/>
        </w:rPr>
        <w:t>2 设计依据</w:t>
      </w:r>
      <w:r>
        <w:tab/>
      </w:r>
      <w:r>
        <w:fldChar w:fldCharType="begin"/>
      </w:r>
      <w:r>
        <w:instrText xml:space="preserve"> PAGEREF _Toc25745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_Toc20522 </w:instrText>
      </w:r>
      <w:r>
        <w:fldChar w:fldCharType="separate"/>
      </w:r>
      <w:r>
        <w:rPr>
          <w:rFonts w:hint="eastAsia"/>
        </w:rPr>
        <w:t>3 计算规定</w:t>
      </w:r>
      <w:r>
        <w:tab/>
      </w:r>
      <w:r>
        <w:fldChar w:fldCharType="begin"/>
      </w:r>
      <w:r>
        <w:instrText xml:space="preserve"> PAGEREF _Toc20522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_Toc11379 </w:instrText>
      </w:r>
      <w:r>
        <w:fldChar w:fldCharType="separate"/>
      </w:r>
      <w:r>
        <w:rPr>
          <w:rFonts w:hint="eastAsia"/>
          <w:lang w:val="en-GB"/>
        </w:rPr>
        <w:t xml:space="preserve">3.1 </w:t>
      </w:r>
      <w:r>
        <w:rPr>
          <w:rFonts w:hint="eastAsia"/>
        </w:rPr>
        <w:t>强制条文</w:t>
      </w:r>
      <w:r>
        <w:tab/>
      </w:r>
      <w:r>
        <w:fldChar w:fldCharType="begin"/>
      </w:r>
      <w:r>
        <w:instrText xml:space="preserve"> PAGEREF _Toc11379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_Toc18055 </w:instrText>
      </w:r>
      <w:r>
        <w:fldChar w:fldCharType="separate"/>
      </w:r>
      <w:r>
        <w:rPr>
          <w:rFonts w:hint="eastAsia"/>
          <w:lang w:val="en-GB"/>
        </w:rPr>
        <w:t xml:space="preserve">3.2 </w:t>
      </w:r>
      <w:r>
        <w:rPr>
          <w:rFonts w:hint="eastAsia"/>
        </w:rPr>
        <w:t>评价性设计</w:t>
      </w:r>
      <w:r>
        <w:tab/>
      </w:r>
      <w:r>
        <w:fldChar w:fldCharType="begin"/>
      </w:r>
      <w:r>
        <w:instrText xml:space="preserve"> PAGEREF _Toc18055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_Toc1771 </w:instrText>
      </w:r>
      <w:r>
        <w:fldChar w:fldCharType="separate"/>
      </w:r>
      <w:r>
        <w:rPr>
          <w:rFonts w:hint="eastAsia"/>
        </w:rPr>
        <w:t>4 计算方法</w:t>
      </w:r>
      <w:r>
        <w:tab/>
      </w:r>
      <w:r>
        <w:fldChar w:fldCharType="begin"/>
      </w:r>
      <w:r>
        <w:instrText xml:space="preserve"> PAGEREF _Toc1771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_Toc1937 </w:instrText>
      </w:r>
      <w:r>
        <w:fldChar w:fldCharType="separate"/>
      </w:r>
      <w:r>
        <w:rPr>
          <w:rFonts w:hint="eastAsia"/>
        </w:rPr>
        <w:t>5 计算参数</w:t>
      </w:r>
      <w:r>
        <w:tab/>
      </w:r>
      <w:r>
        <w:fldChar w:fldCharType="begin"/>
      </w:r>
      <w:r>
        <w:instrText xml:space="preserve"> PAGEREF _Toc1937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_Toc14110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_Toc14110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_Toc28463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_Toc28463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_Toc8513 </w:instrText>
      </w:r>
      <w:r>
        <w:fldChar w:fldCharType="separate"/>
      </w:r>
      <w:r>
        <w:rPr>
          <w:rFonts w:hint="eastAsia"/>
        </w:rPr>
        <w:t>6 指标概览</w:t>
      </w:r>
      <w:r>
        <w:tab/>
      </w:r>
      <w:r>
        <w:fldChar w:fldCharType="begin"/>
      </w:r>
      <w:r>
        <w:instrText xml:space="preserve"> PAGEREF _Toc8513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_Toc12522 </w:instrText>
      </w:r>
      <w:r>
        <w:fldChar w:fldCharType="separate"/>
      </w:r>
      <w:r>
        <w:rPr>
          <w:rFonts w:hint="eastAsia"/>
          <w:lang w:val="en-GB"/>
        </w:rPr>
        <w:t xml:space="preserve">6.1 </w:t>
      </w:r>
      <w:r>
        <w:rPr>
          <w:rFonts w:hint="eastAsia"/>
        </w:rPr>
        <w:t>建筑列表</w:t>
      </w:r>
      <w:r>
        <w:tab/>
      </w:r>
      <w:r>
        <w:fldChar w:fldCharType="begin"/>
      </w:r>
      <w:r>
        <w:instrText xml:space="preserve"> PAGEREF _Toc12522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_Toc12863 </w:instrText>
      </w:r>
      <w:r>
        <w:fldChar w:fldCharType="separate"/>
      </w:r>
      <w:r>
        <w:rPr>
          <w:rFonts w:hint="eastAsia"/>
          <w:lang w:val="en-GB"/>
        </w:rPr>
        <w:t xml:space="preserve">6.2 </w:t>
      </w:r>
      <w:r>
        <w:rPr>
          <w:rFonts w:hint="eastAsia"/>
        </w:rPr>
        <w:t>住区指标</w:t>
      </w:r>
      <w:r>
        <w:tab/>
      </w:r>
      <w:r>
        <w:fldChar w:fldCharType="begin"/>
      </w:r>
      <w:r>
        <w:instrText xml:space="preserve"> PAGEREF _Toc12863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_Toc30591 </w:instrText>
      </w:r>
      <w:r>
        <w:fldChar w:fldCharType="separate"/>
      </w:r>
      <w:r>
        <w:rPr>
          <w:rFonts w:hint="eastAsia"/>
        </w:rPr>
        <w:t>7 强条</w:t>
      </w:r>
      <w:r>
        <w:t>检查</w:t>
      </w:r>
      <w:r>
        <w:tab/>
      </w:r>
      <w:r>
        <w:fldChar w:fldCharType="begin"/>
      </w:r>
      <w:r>
        <w:instrText xml:space="preserve"> PAGEREF _Toc30591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_Toc32119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_Toc32119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_Toc5658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_Toc5658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_Toc2433 </w:instrText>
      </w:r>
      <w:r>
        <w:fldChar w:fldCharType="separate"/>
      </w:r>
      <w:r>
        <w:rPr>
          <w:rFonts w:hint="eastAsia"/>
        </w:rPr>
        <w:t>8 评价性设计</w:t>
      </w:r>
      <w:r>
        <w:tab/>
      </w:r>
      <w:r>
        <w:fldChar w:fldCharType="begin"/>
      </w:r>
      <w:r>
        <w:instrText xml:space="preserve"> PAGEREF _Toc2433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_Toc138 </w:instrText>
      </w:r>
      <w:r>
        <w:fldChar w:fldCharType="separate"/>
      </w:r>
      <w:r>
        <w:rPr>
          <w:rFonts w:hint="eastAsia"/>
          <w:lang w:val="en-GB"/>
        </w:rPr>
        <w:t xml:space="preserve">8.1 </w:t>
      </w:r>
      <w:r>
        <w:rPr>
          <w:rFonts w:hint="eastAsia"/>
        </w:rPr>
        <w:t>平均热岛强度</w:t>
      </w:r>
      <w:r>
        <w:tab/>
      </w:r>
      <w:r>
        <w:fldChar w:fldCharType="begin"/>
      </w:r>
      <w:r>
        <w:instrText xml:space="preserve"> PAGEREF _Toc138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_Toc19492 </w:instrText>
      </w:r>
      <w:r>
        <w:fldChar w:fldCharType="separate"/>
      </w:r>
      <w:r>
        <w:rPr>
          <w:rFonts w:hint="eastAsia"/>
          <w:lang w:val="en-GB"/>
        </w:rPr>
        <w:t xml:space="preserve">8.2 </w:t>
      </w:r>
      <w:r>
        <w:rPr>
          <w:rFonts w:hint="eastAsia"/>
        </w:rPr>
        <w:t>湿球黑球温度</w:t>
      </w:r>
      <w:r>
        <w:tab/>
      </w:r>
      <w:r>
        <w:fldChar w:fldCharType="begin"/>
      </w:r>
      <w:r>
        <w:instrText xml:space="preserve"> PAGEREF _Toc19492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_Toc10727 </w:instrText>
      </w:r>
      <w:r>
        <w:fldChar w:fldCharType="separate"/>
      </w:r>
      <w:r>
        <w:rPr>
          <w:rFonts w:hint="eastAsia"/>
        </w:rPr>
        <w:t>9 结论</w:t>
      </w:r>
      <w:r>
        <w:tab/>
      </w:r>
      <w:r>
        <w:fldChar w:fldCharType="begin"/>
      </w:r>
      <w:r>
        <w:instrText xml:space="preserve"> PAGEREF _Toc10727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338"/>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北海</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21.48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109.10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IVA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5745"/>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20522"/>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11379"/>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18055"/>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771"/>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1937"/>
      <w:r>
        <w:rPr>
          <w:rFonts w:hint="eastAsia"/>
        </w:rPr>
        <w:t>计算参数</w:t>
      </w:r>
      <w:bookmarkEnd w:id="32"/>
    </w:p>
    <w:p>
      <w:pPr>
        <w:pStyle w:val="4"/>
      </w:pPr>
      <w:bookmarkStart w:id="33" w:name="_Toc14110"/>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28463"/>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6" w:name="蒸发量参数"/>
      <w:bookmarkEnd w:id="36"/>
    </w:p>
    <w:p>
      <w:pPr>
        <w:pStyle w:val="2"/>
      </w:pPr>
      <w:bookmarkStart w:id="37" w:name="_Toc8513"/>
      <w:r>
        <w:rPr>
          <w:rFonts w:hint="eastAsia"/>
        </w:rPr>
        <w:t>指标概览</w:t>
      </w:r>
      <w:bookmarkEnd w:id="37"/>
    </w:p>
    <w:p>
      <w:pPr>
        <w:pStyle w:val="4"/>
      </w:pPr>
      <w:bookmarkStart w:id="38" w:name="_Toc12522"/>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农庄</w:t>
            </w:r>
          </w:p>
        </w:tc>
        <w:tc>
          <w:tcPr>
            <w:vAlign w:val="center"/>
          </w:tcPr>
          <w:p>
            <w:r>
              <w:t>1099.2</w:t>
            </w:r>
          </w:p>
        </w:tc>
        <w:tc>
          <w:tcPr>
            <w:vAlign w:val="center"/>
          </w:tcPr>
          <w:p>
            <w:r>
              <w:t>20.3</w:t>
            </w:r>
          </w:p>
        </w:tc>
        <w:tc>
          <w:tcPr>
            <w:vAlign w:val="center"/>
          </w:tcPr>
          <w:p>
            <w:r>
              <w:t>226.0</w:t>
            </w:r>
          </w:p>
        </w:tc>
        <w:tc>
          <w:tcPr>
            <w:vAlign w:val="center"/>
          </w:tcPr>
          <w:p>
            <w:r>
              <w:t>0.88</w:t>
            </w:r>
          </w:p>
        </w:tc>
        <w:tc>
          <w:tcPr>
            <w:vAlign w:val="center"/>
          </w:tcPr>
          <w:p>
            <w:r>
              <w:t>0.0</w:t>
            </w:r>
          </w:p>
        </w:tc>
      </w:tr>
    </w:tbl>
    <w:p>
      <w:pPr>
        <w:pStyle w:val="3"/>
        <w:ind w:firstLine="420"/>
        <w:rPr>
          <w:lang w:val="en-US"/>
        </w:rPr>
      </w:pPr>
      <w:bookmarkStart w:id="39" w:name="建筑列表"/>
      <w:bookmarkEnd w:id="39"/>
    </w:p>
    <w:p>
      <w:pPr>
        <w:pStyle w:val="4"/>
      </w:pPr>
      <w:bookmarkStart w:id="40" w:name="_Toc12863"/>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6426.48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5144.11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425.44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953.72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335.76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623.32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592.94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425.44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11.03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30591"/>
      <w:r>
        <w:rPr>
          <w:rFonts w:hint="eastAsia"/>
        </w:rPr>
        <w:t>强</w:t>
      </w:r>
      <w:bookmarkEnd w:id="42"/>
      <w:r>
        <w:rPr>
          <w:rFonts w:hint="eastAsia"/>
        </w:rPr>
        <w:t>条</w:t>
      </w:r>
      <w:r>
        <w:t>检查</w:t>
      </w:r>
      <w:bookmarkEnd w:id="43"/>
    </w:p>
    <w:p>
      <w:pPr>
        <w:pStyle w:val="4"/>
      </w:pPr>
      <w:bookmarkStart w:id="44" w:name="_Toc16494777"/>
      <w:bookmarkStart w:id="45" w:name="_Toc32119"/>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农庄</w:t>
            </w:r>
          </w:p>
        </w:tc>
        <w:tc>
          <w:tcPr>
            <w:vAlign w:val="center"/>
          </w:tcPr>
          <w:p>
            <w:r>
              <w:t>978.61</w:t>
            </w:r>
          </w:p>
        </w:tc>
        <w:tc>
          <w:tcPr>
            <w:vAlign w:val="center"/>
          </w:tcPr>
          <w:p>
            <w:r>
              <w:t>1106.70</w:t>
            </w:r>
          </w:p>
        </w:tc>
        <w:tc>
          <w:tcPr>
            <w:vAlign w:val="center"/>
          </w:tcPr>
          <w:p>
            <w:r>
              <w:t>110.00</w:t>
            </w:r>
          </w:p>
        </w:tc>
        <w:tc>
          <w:tcPr>
            <w:vAlign w:val="center"/>
          </w:tcPr>
          <w:p>
            <w:r>
              <w:t>0.8843</w:t>
            </w:r>
          </w:p>
        </w:tc>
      </w:tr>
      <w:tr>
        <w:tblPrEx>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color w:val="FF0000"/>
              </w:rPr>
              <w:t>0.884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46" w:name="平均迎风面积比"/>
      <w:bookmarkEnd w:id="46"/>
    </w:p>
    <w:p>
      <w:pPr>
        <w:pStyle w:val="4"/>
      </w:pPr>
      <w:bookmarkStart w:id="47" w:name="_Toc16494778"/>
      <w:bookmarkStart w:id="48" w:name="_Toc5658"/>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369.0</w:t>
            </w:r>
          </w:p>
        </w:tc>
        <w:tc>
          <w:tcPr>
            <w:vAlign w:val="center"/>
          </w:tcPr>
          <w:p>
            <w:r>
              <w:t>425.4</w:t>
            </w:r>
          </w:p>
        </w:tc>
        <w:tc>
          <w:tcPr>
            <w:vAlign w:val="center"/>
          </w:tcPr>
          <w:p>
            <w:r>
              <w:t>87</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2433"/>
      <w:r>
        <w:rPr>
          <w:rFonts w:hint="eastAsia"/>
        </w:rPr>
        <w:t>评价性设计</w:t>
      </w:r>
      <w:bookmarkEnd w:id="50"/>
      <w:bookmarkEnd w:id="51"/>
    </w:p>
    <w:p>
      <w:pPr>
        <w:pStyle w:val="4"/>
      </w:pPr>
      <w:bookmarkStart w:id="52" w:name="_Toc16494784"/>
      <w:bookmarkStart w:id="53" w:name="_Toc138"/>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28.2</w:t>
            </w:r>
          </w:p>
        </w:tc>
        <w:tc>
          <w:tcPr>
            <w:vAlign w:val="center"/>
          </w:tcPr>
          <w:p>
            <w:r>
              <w:t>2.2</w:t>
            </w:r>
          </w:p>
        </w:tc>
        <w:tc>
          <w:tcPr>
            <w:vAlign w:val="center"/>
          </w:tcPr>
          <w:p>
            <w:r>
              <w:t>3.3</w:t>
            </w:r>
          </w:p>
        </w:tc>
        <w:tc>
          <w:tcPr>
            <w:vAlign w:val="center"/>
          </w:tcPr>
          <w:p>
            <w:r>
              <w:t>0.9</w:t>
            </w:r>
          </w:p>
        </w:tc>
        <w:tc>
          <w:tcPr>
            <w:vAlign w:val="center"/>
          </w:tcPr>
          <w:p>
            <w:r>
              <w:t>26.3</w:t>
            </w:r>
          </w:p>
        </w:tc>
        <w:tc>
          <w:tcPr>
            <w:vAlign w:val="center"/>
          </w:tcPr>
          <w:p>
            <w:r>
              <w:t>29.0</w:t>
            </w:r>
          </w:p>
        </w:tc>
        <w:tc>
          <w:tcPr>
            <w:vAlign w:val="center"/>
          </w:tcPr>
          <w:p>
            <w:r>
              <w:t>-2.710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28.2</w:t>
            </w:r>
          </w:p>
        </w:tc>
        <w:tc>
          <w:tcPr>
            <w:vAlign w:val="center"/>
          </w:tcPr>
          <w:p>
            <w:r>
              <w:t>3.5</w:t>
            </w:r>
          </w:p>
        </w:tc>
        <w:tc>
          <w:tcPr>
            <w:vAlign w:val="center"/>
          </w:tcPr>
          <w:p>
            <w:r>
              <w:t>3.3</w:t>
            </w:r>
          </w:p>
        </w:tc>
        <w:tc>
          <w:tcPr>
            <w:vAlign w:val="center"/>
          </w:tcPr>
          <w:p>
            <w:r>
              <w:t>0.9</w:t>
            </w:r>
          </w:p>
        </w:tc>
        <w:tc>
          <w:tcPr>
            <w:vAlign w:val="center"/>
          </w:tcPr>
          <w:p>
            <w:r>
              <w:t>27.5</w:t>
            </w:r>
          </w:p>
        </w:tc>
        <w:tc>
          <w:tcPr>
            <w:vAlign w:val="center"/>
          </w:tcPr>
          <w:p>
            <w:r>
              <w:t>29.7</w:t>
            </w:r>
          </w:p>
        </w:tc>
        <w:tc>
          <w:tcPr>
            <w:vAlign w:val="center"/>
          </w:tcPr>
          <w:p>
            <w:r>
              <w:t>-2.206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28.2</w:t>
            </w:r>
          </w:p>
        </w:tc>
        <w:tc>
          <w:tcPr>
            <w:vAlign w:val="center"/>
          </w:tcPr>
          <w:p>
            <w:r>
              <w:t>5.0</w:t>
            </w:r>
          </w:p>
        </w:tc>
        <w:tc>
          <w:tcPr>
            <w:vAlign w:val="center"/>
          </w:tcPr>
          <w:p>
            <w:r>
              <w:t>3.3</w:t>
            </w:r>
          </w:p>
        </w:tc>
        <w:tc>
          <w:tcPr>
            <w:vAlign w:val="center"/>
          </w:tcPr>
          <w:p>
            <w:r>
              <w:t>1.0</w:t>
            </w:r>
          </w:p>
        </w:tc>
        <w:tc>
          <w:tcPr>
            <w:vAlign w:val="center"/>
          </w:tcPr>
          <w:p>
            <w:r>
              <w:t>28.9</w:t>
            </w:r>
          </w:p>
        </w:tc>
        <w:tc>
          <w:tcPr>
            <w:vAlign w:val="center"/>
          </w:tcPr>
          <w:p>
            <w:r>
              <w:t>30.4</w:t>
            </w:r>
          </w:p>
        </w:tc>
        <w:tc>
          <w:tcPr>
            <w:vAlign w:val="center"/>
          </w:tcPr>
          <w:p>
            <w:r>
              <w:t>-1.482</w:t>
            </w:r>
          </w:p>
        </w:tc>
      </w:tr>
      <w:tr>
        <w:tblPrEx>
          <w:tblCellMar>
            <w:top w:w="0" w:type="dxa"/>
            <w:left w:w="108" w:type="dxa"/>
            <w:bottom w:w="0" w:type="dxa"/>
            <w:right w:w="108" w:type="dxa"/>
          </w:tblCellMar>
        </w:tblPrEx>
        <w:tc>
          <w:tcPr>
            <w:shd w:val="clear" w:color="auto" w:fill="E6E6E6"/>
            <w:vAlign w:val="center"/>
          </w:tcPr>
          <w:p>
            <w:r>
              <w:t>12:00</w:t>
            </w:r>
          </w:p>
        </w:tc>
        <w:tc>
          <w:tcPr>
            <w:vAlign w:val="center"/>
          </w:tcPr>
          <w:p>
            <w:r>
              <w:t>28.2</w:t>
            </w:r>
          </w:p>
        </w:tc>
        <w:tc>
          <w:tcPr>
            <w:vAlign w:val="center"/>
          </w:tcPr>
          <w:p>
            <w:r>
              <w:t>6.5</w:t>
            </w:r>
          </w:p>
        </w:tc>
        <w:tc>
          <w:tcPr>
            <w:vAlign w:val="center"/>
          </w:tcPr>
          <w:p>
            <w:r>
              <w:t>3.3</w:t>
            </w:r>
          </w:p>
        </w:tc>
        <w:tc>
          <w:tcPr>
            <w:vAlign w:val="center"/>
          </w:tcPr>
          <w:p>
            <w:r>
              <w:t>0.9</w:t>
            </w:r>
          </w:p>
        </w:tc>
        <w:tc>
          <w:tcPr>
            <w:vAlign w:val="center"/>
          </w:tcPr>
          <w:p>
            <w:r>
              <w:t>30.4</w:t>
            </w:r>
          </w:p>
        </w:tc>
        <w:tc>
          <w:tcPr>
            <w:vAlign w:val="center"/>
          </w:tcPr>
          <w:p>
            <w:r>
              <w:t>30.9</w:t>
            </w:r>
          </w:p>
        </w:tc>
        <w:tc>
          <w:tcPr>
            <w:vAlign w:val="center"/>
          </w:tcPr>
          <w:p>
            <w:r>
              <w:t>-0.457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28.2</w:t>
            </w:r>
          </w:p>
        </w:tc>
        <w:tc>
          <w:tcPr>
            <w:vAlign w:val="center"/>
          </w:tcPr>
          <w:p>
            <w:r>
              <w:t>7.7</w:t>
            </w:r>
          </w:p>
        </w:tc>
        <w:tc>
          <w:tcPr>
            <w:vAlign w:val="center"/>
          </w:tcPr>
          <w:p>
            <w:r>
              <w:t>3.3</w:t>
            </w:r>
          </w:p>
        </w:tc>
        <w:tc>
          <w:tcPr>
            <w:vAlign w:val="center"/>
          </w:tcPr>
          <w:p>
            <w:r>
              <w:t>0.8</w:t>
            </w:r>
          </w:p>
        </w:tc>
        <w:tc>
          <w:tcPr>
            <w:vAlign w:val="center"/>
          </w:tcPr>
          <w:p>
            <w:r>
              <w:t>31.7</w:t>
            </w:r>
          </w:p>
        </w:tc>
        <w:tc>
          <w:tcPr>
            <w:vAlign w:val="center"/>
          </w:tcPr>
          <w:p>
            <w:r>
              <w:t>31.1</w:t>
            </w:r>
          </w:p>
        </w:tc>
        <w:tc>
          <w:tcPr>
            <w:vAlign w:val="center"/>
          </w:tcPr>
          <w:p>
            <w:r>
              <w:t>0.649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28.2</w:t>
            </w:r>
          </w:p>
        </w:tc>
        <w:tc>
          <w:tcPr>
            <w:vAlign w:val="center"/>
          </w:tcPr>
          <w:p>
            <w:r>
              <w:t>8.6</w:t>
            </w:r>
          </w:p>
        </w:tc>
        <w:tc>
          <w:tcPr>
            <w:vAlign w:val="center"/>
          </w:tcPr>
          <w:p>
            <w:r>
              <w:t>3.3</w:t>
            </w:r>
          </w:p>
        </w:tc>
        <w:tc>
          <w:tcPr>
            <w:vAlign w:val="center"/>
          </w:tcPr>
          <w:p>
            <w:r>
              <w:t>0.7</w:t>
            </w:r>
          </w:p>
        </w:tc>
        <w:tc>
          <w:tcPr>
            <w:vAlign w:val="center"/>
          </w:tcPr>
          <w:p>
            <w:r>
              <w:t>32.8</w:t>
            </w:r>
          </w:p>
        </w:tc>
        <w:tc>
          <w:tcPr>
            <w:vAlign w:val="center"/>
          </w:tcPr>
          <w:p>
            <w:r>
              <w:t>31.0</w:t>
            </w:r>
          </w:p>
        </w:tc>
        <w:tc>
          <w:tcPr>
            <w:vAlign w:val="center"/>
          </w:tcPr>
          <w:p>
            <w:r>
              <w:t>1.803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28.2</w:t>
            </w:r>
          </w:p>
        </w:tc>
        <w:tc>
          <w:tcPr>
            <w:vAlign w:val="center"/>
          </w:tcPr>
          <w:p>
            <w:r>
              <w:t>9.0</w:t>
            </w:r>
          </w:p>
        </w:tc>
        <w:tc>
          <w:tcPr>
            <w:vAlign w:val="center"/>
          </w:tcPr>
          <w:p>
            <w:r>
              <w:t>3.3</w:t>
            </w:r>
          </w:p>
        </w:tc>
        <w:tc>
          <w:tcPr>
            <w:vAlign w:val="center"/>
          </w:tcPr>
          <w:p>
            <w:r>
              <w:t>0.6</w:t>
            </w:r>
          </w:p>
        </w:tc>
        <w:tc>
          <w:tcPr>
            <w:vAlign w:val="center"/>
          </w:tcPr>
          <w:p>
            <w:r>
              <w:t>33.4</w:t>
            </w:r>
          </w:p>
        </w:tc>
        <w:tc>
          <w:tcPr>
            <w:vAlign w:val="center"/>
          </w:tcPr>
          <w:p>
            <w:r>
              <w:t>30.7</w:t>
            </w:r>
          </w:p>
        </w:tc>
        <w:tc>
          <w:tcPr>
            <w:vAlign w:val="center"/>
          </w:tcPr>
          <w:p>
            <w:r>
              <w:t>2.671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28.2</w:t>
            </w:r>
          </w:p>
        </w:tc>
        <w:tc>
          <w:tcPr>
            <w:vAlign w:val="center"/>
          </w:tcPr>
          <w:p>
            <w:r>
              <w:t>8.9</w:t>
            </w:r>
          </w:p>
        </w:tc>
        <w:tc>
          <w:tcPr>
            <w:vAlign w:val="center"/>
          </w:tcPr>
          <w:p>
            <w:r>
              <w:t>3.3</w:t>
            </w:r>
          </w:p>
        </w:tc>
        <w:tc>
          <w:tcPr>
            <w:vAlign w:val="center"/>
          </w:tcPr>
          <w:p>
            <w:r>
              <w:t>0.4</w:t>
            </w:r>
          </w:p>
        </w:tc>
        <w:tc>
          <w:tcPr>
            <w:vAlign w:val="center"/>
          </w:tcPr>
          <w:p>
            <w:r>
              <w:t>33.4</w:t>
            </w:r>
          </w:p>
        </w:tc>
        <w:tc>
          <w:tcPr>
            <w:vAlign w:val="center"/>
          </w:tcPr>
          <w:p>
            <w:r>
              <w:t>30.1</w:t>
            </w:r>
          </w:p>
        </w:tc>
        <w:tc>
          <w:tcPr>
            <w:vAlign w:val="center"/>
          </w:tcPr>
          <w:p>
            <w:r>
              <w:t>3.319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28.2</w:t>
            </w:r>
          </w:p>
        </w:tc>
        <w:tc>
          <w:tcPr>
            <w:vAlign w:val="center"/>
          </w:tcPr>
          <w:p>
            <w:r>
              <w:t>8.5</w:t>
            </w:r>
          </w:p>
        </w:tc>
        <w:tc>
          <w:tcPr>
            <w:vAlign w:val="center"/>
          </w:tcPr>
          <w:p>
            <w:r>
              <w:t>3.2</w:t>
            </w:r>
          </w:p>
        </w:tc>
        <w:tc>
          <w:tcPr>
            <w:vAlign w:val="center"/>
          </w:tcPr>
          <w:p>
            <w:r>
              <w:t>0.3</w:t>
            </w:r>
          </w:p>
        </w:tc>
        <w:tc>
          <w:tcPr>
            <w:vAlign w:val="center"/>
          </w:tcPr>
          <w:p>
            <w:r>
              <w:t>33.2</w:t>
            </w:r>
          </w:p>
        </w:tc>
        <w:tc>
          <w:tcPr>
            <w:vAlign w:val="center"/>
          </w:tcPr>
          <w:p>
            <w:r>
              <w:t>29.4</w:t>
            </w:r>
          </w:p>
        </w:tc>
        <w:tc>
          <w:tcPr>
            <w:vAlign w:val="center"/>
          </w:tcPr>
          <w:p>
            <w:r>
              <w:t>3.810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28.2</w:t>
            </w:r>
          </w:p>
        </w:tc>
        <w:tc>
          <w:tcPr>
            <w:vAlign w:val="center"/>
          </w:tcPr>
          <w:p>
            <w:r>
              <w:t>8.0</w:t>
            </w:r>
          </w:p>
        </w:tc>
        <w:tc>
          <w:tcPr>
            <w:vAlign w:val="center"/>
          </w:tcPr>
          <w:p>
            <w:r>
              <w:t>3.2</w:t>
            </w:r>
          </w:p>
        </w:tc>
        <w:tc>
          <w:tcPr>
            <w:vAlign w:val="center"/>
          </w:tcPr>
          <w:p>
            <w:r>
              <w:t>0.2</w:t>
            </w:r>
          </w:p>
        </w:tc>
        <w:tc>
          <w:tcPr>
            <w:vAlign w:val="center"/>
          </w:tcPr>
          <w:p>
            <w:r>
              <w:t>32.8</w:t>
            </w:r>
          </w:p>
        </w:tc>
        <w:tc>
          <w:tcPr>
            <w:vAlign w:val="center"/>
          </w:tcPr>
          <w:p>
            <w:r>
              <w:t>28.8</w:t>
            </w:r>
          </w:p>
        </w:tc>
        <w:tc>
          <w:tcPr>
            <w:vAlign w:val="center"/>
          </w:tcPr>
          <w:p>
            <w:r>
              <w:t>3.993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28.2</w:t>
            </w:r>
          </w:p>
        </w:tc>
        <w:tc>
          <w:tcPr>
            <w:vAlign w:val="center"/>
          </w:tcPr>
          <w:p>
            <w:r>
              <w:t>7.3</w:t>
            </w:r>
          </w:p>
        </w:tc>
        <w:tc>
          <w:tcPr>
            <w:vAlign w:val="center"/>
          </w:tcPr>
          <w:p>
            <w:r>
              <w:t>3.1</w:t>
            </w:r>
          </w:p>
        </w:tc>
        <w:tc>
          <w:tcPr>
            <w:vAlign w:val="center"/>
          </w:tcPr>
          <w:p>
            <w:r>
              <w:t>0.2</w:t>
            </w:r>
          </w:p>
        </w:tc>
        <w:tc>
          <w:tcPr>
            <w:vAlign w:val="center"/>
          </w:tcPr>
          <w:p>
            <w:r>
              <w:t>32.2</w:t>
            </w:r>
          </w:p>
        </w:tc>
        <w:tc>
          <w:tcPr>
            <w:vAlign w:val="center"/>
          </w:tcPr>
          <w:p>
            <w:r>
              <w:t>28.1</w:t>
            </w:r>
          </w:p>
        </w:tc>
        <w:tc>
          <w:tcPr>
            <w:vAlign w:val="center"/>
          </w:tcPr>
          <w:p>
            <w:r>
              <w:t>4.097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p>
    <w:p>
      <w:pPr>
        <w:pStyle w:val="4"/>
      </w:pPr>
      <w:bookmarkStart w:id="56" w:name="_Toc16494785"/>
      <w:bookmarkStart w:id="57" w:name="_Toc19492"/>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26.3</w:t>
            </w:r>
          </w:p>
        </w:tc>
        <w:tc>
          <w:tcPr>
            <w:vAlign w:val="center"/>
          </w:tcPr>
          <w:p>
            <w:r>
              <w:t>0.8</w:t>
            </w:r>
          </w:p>
        </w:tc>
        <w:tc>
          <w:tcPr>
            <w:vAlign w:val="center"/>
          </w:tcPr>
          <w:p>
            <w:r>
              <w:t>244.4</w:t>
            </w:r>
          </w:p>
        </w:tc>
        <w:tc>
          <w:tcPr>
            <w:vAlign w:val="center"/>
          </w:tcPr>
          <w:p>
            <w:r>
              <w:t>45.9</w:t>
            </w:r>
          </w:p>
        </w:tc>
        <w:tc>
          <w:tcPr>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27.5</w:t>
            </w:r>
          </w:p>
        </w:tc>
        <w:tc>
          <w:tcPr>
            <w:vAlign w:val="center"/>
          </w:tcPr>
          <w:p>
            <w:r>
              <w:t>0.8</w:t>
            </w:r>
          </w:p>
        </w:tc>
        <w:tc>
          <w:tcPr>
            <w:vAlign w:val="center"/>
          </w:tcPr>
          <w:p>
            <w:r>
              <w:t>316.9</w:t>
            </w:r>
          </w:p>
        </w:tc>
        <w:tc>
          <w:tcPr>
            <w:vAlign w:val="center"/>
          </w:tcPr>
          <w:p>
            <w:r>
              <w:t>59.5</w:t>
            </w:r>
          </w:p>
        </w:tc>
        <w:tc>
          <w:tcPr>
            <w:vAlign w:val="center"/>
          </w:tcPr>
          <w:p>
            <w:r>
              <w:t>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28.9</w:t>
            </w:r>
          </w:p>
        </w:tc>
        <w:tc>
          <w:tcPr>
            <w:vAlign w:val="center"/>
          </w:tcPr>
          <w:p>
            <w:r>
              <w:t>0.7</w:t>
            </w:r>
          </w:p>
        </w:tc>
        <w:tc>
          <w:tcPr>
            <w:vAlign w:val="center"/>
          </w:tcPr>
          <w:p>
            <w:r>
              <w:t>372.7</w:t>
            </w:r>
          </w:p>
        </w:tc>
        <w:tc>
          <w:tcPr>
            <w:vAlign w:val="center"/>
          </w:tcPr>
          <w:p>
            <w:r>
              <w:t>70.0</w:t>
            </w: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30.4</w:t>
            </w:r>
          </w:p>
        </w:tc>
        <w:tc>
          <w:tcPr>
            <w:vAlign w:val="center"/>
          </w:tcPr>
          <w:p>
            <w:r>
              <w:t>0.7</w:t>
            </w:r>
          </w:p>
        </w:tc>
        <w:tc>
          <w:tcPr>
            <w:vAlign w:val="center"/>
          </w:tcPr>
          <w:p>
            <w:r>
              <w:t>403.4</w:t>
            </w:r>
          </w:p>
        </w:tc>
        <w:tc>
          <w:tcPr>
            <w:vAlign w:val="center"/>
          </w:tcPr>
          <w:p>
            <w:r>
              <w:t>75.7</w:t>
            </w:r>
          </w:p>
        </w:tc>
        <w:tc>
          <w:tcPr>
            <w:vAlign w:val="center"/>
          </w:tcPr>
          <w:p>
            <w:r>
              <w:t>27.6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31.7</w:t>
            </w:r>
          </w:p>
        </w:tc>
        <w:tc>
          <w:tcPr>
            <w:vAlign w:val="center"/>
          </w:tcPr>
          <w:p>
            <w:r>
              <w:t>0.6</w:t>
            </w:r>
          </w:p>
        </w:tc>
        <w:tc>
          <w:tcPr>
            <w:vAlign w:val="center"/>
          </w:tcPr>
          <w:p>
            <w:r>
              <w:t>378.0</w:t>
            </w:r>
          </w:p>
        </w:tc>
        <w:tc>
          <w:tcPr>
            <w:vAlign w:val="center"/>
          </w:tcPr>
          <w:p>
            <w:r>
              <w:t>71.0</w:t>
            </w:r>
          </w:p>
        </w:tc>
        <w:tc>
          <w:tcPr>
            <w:vAlign w:val="center"/>
          </w:tcPr>
          <w:p>
            <w:r>
              <w:t>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32.8</w:t>
            </w:r>
          </w:p>
        </w:tc>
        <w:tc>
          <w:tcPr>
            <w:vAlign w:val="center"/>
          </w:tcPr>
          <w:p>
            <w:r>
              <w:t>0.6</w:t>
            </w:r>
          </w:p>
        </w:tc>
        <w:tc>
          <w:tcPr>
            <w:vAlign w:val="center"/>
          </w:tcPr>
          <w:p>
            <w:r>
              <w:t>323.8</w:t>
            </w:r>
          </w:p>
        </w:tc>
        <w:tc>
          <w:tcPr>
            <w:vAlign w:val="center"/>
          </w:tcPr>
          <w:p>
            <w:r>
              <w:t>60.8</w:t>
            </w:r>
          </w:p>
        </w:tc>
        <w:tc>
          <w:tcPr>
            <w:vAlign w:val="center"/>
          </w:tcPr>
          <w:p>
            <w:r>
              <w:t>28.6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33.4</w:t>
            </w:r>
          </w:p>
        </w:tc>
        <w:tc>
          <w:tcPr>
            <w:vAlign w:val="center"/>
          </w:tcPr>
          <w:p>
            <w:r>
              <w:t>0.6</w:t>
            </w:r>
          </w:p>
        </w:tc>
        <w:tc>
          <w:tcPr>
            <w:vAlign w:val="center"/>
          </w:tcPr>
          <w:p>
            <w:r>
              <w:t>251.7</w:t>
            </w:r>
          </w:p>
        </w:tc>
        <w:tc>
          <w:tcPr>
            <w:vAlign w:val="center"/>
          </w:tcPr>
          <w:p>
            <w:r>
              <w:t>47.3</w:t>
            </w:r>
          </w:p>
        </w:tc>
        <w:tc>
          <w:tcPr>
            <w:vAlign w:val="center"/>
          </w:tcPr>
          <w:p>
            <w:r>
              <w:t>28.7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33.4</w:t>
            </w:r>
          </w:p>
        </w:tc>
        <w:tc>
          <w:tcPr>
            <w:vAlign w:val="center"/>
          </w:tcPr>
          <w:p>
            <w:r>
              <w:t>0.6</w:t>
            </w:r>
          </w:p>
        </w:tc>
        <w:tc>
          <w:tcPr>
            <w:vAlign w:val="center"/>
          </w:tcPr>
          <w:p>
            <w:r>
              <w:t>141.3</w:t>
            </w:r>
          </w:p>
        </w:tc>
        <w:tc>
          <w:tcPr>
            <w:vAlign w:val="center"/>
          </w:tcPr>
          <w:p>
            <w:r>
              <w:t>26.5</w:t>
            </w:r>
          </w:p>
        </w:tc>
        <w:tc>
          <w:tcPr>
            <w:vAlign w:val="center"/>
          </w:tcPr>
          <w:p>
            <w:r>
              <w:t>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33.2</w:t>
            </w:r>
          </w:p>
        </w:tc>
        <w:tc>
          <w:tcPr>
            <w:vAlign w:val="center"/>
          </w:tcPr>
          <w:p>
            <w:r>
              <w:t>0.6</w:t>
            </w:r>
          </w:p>
        </w:tc>
        <w:tc>
          <w:tcPr>
            <w:vAlign w:val="center"/>
          </w:tcPr>
          <w:p>
            <w:r>
              <w:t>79.6</w:t>
            </w:r>
          </w:p>
        </w:tc>
        <w:tc>
          <w:tcPr>
            <w:vAlign w:val="center"/>
          </w:tcPr>
          <w:p>
            <w:r>
              <w:t>14.9</w:t>
            </w:r>
          </w:p>
        </w:tc>
        <w:tc>
          <w:tcPr>
            <w:vAlign w:val="center"/>
          </w:tcPr>
          <w:p>
            <w:r>
              <w:t>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32.8</w:t>
            </w:r>
          </w:p>
        </w:tc>
        <w:tc>
          <w:tcPr>
            <w:vAlign w:val="center"/>
          </w:tcPr>
          <w:p>
            <w:r>
              <w:t>0.6</w:t>
            </w:r>
          </w:p>
        </w:tc>
        <w:tc>
          <w:tcPr>
            <w:vAlign w:val="center"/>
          </w:tcPr>
          <w:p>
            <w:r>
              <w:t>28.1</w:t>
            </w:r>
          </w:p>
        </w:tc>
        <w:tc>
          <w:tcPr>
            <w:vAlign w:val="center"/>
          </w:tcPr>
          <w:p>
            <w:r>
              <w:t>5.3</w:t>
            </w:r>
          </w:p>
        </w:tc>
        <w:tc>
          <w:tcPr>
            <w:vAlign w:val="center"/>
          </w:tcPr>
          <w:p>
            <w: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32.2</w:t>
            </w:r>
          </w:p>
        </w:tc>
        <w:tc>
          <w:tcPr>
            <w:vAlign w:val="center"/>
          </w:tcPr>
          <w:p>
            <w:r>
              <w:t>0.6</w:t>
            </w:r>
          </w:p>
        </w:tc>
        <w:tc>
          <w:tcPr>
            <w:vAlign w:val="center"/>
          </w:tcPr>
          <w:p>
            <w:r>
              <w:t>0.0</w:t>
            </w:r>
          </w:p>
        </w:tc>
        <w:tc>
          <w:tcPr>
            <w:vAlign w:val="center"/>
          </w:tcPr>
          <w:p>
            <w:r>
              <w:t>0.0</w:t>
            </w:r>
          </w:p>
        </w:tc>
        <w:tc>
          <w:tcPr>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28.71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p>
    <w:p>
      <w:pPr>
        <w:pStyle w:val="2"/>
      </w:pPr>
      <w:bookmarkStart w:id="60" w:name="_Toc16494786"/>
      <w:bookmarkStart w:id="61" w:name="_Toc10727"/>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color w:val="FF0000"/>
              </w:rPr>
              <w:t>不满足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color w:val="FF0000"/>
              </w:rPr>
              <w:t>不满足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6C3415"/>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386C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tmp12.dotx</Template>
  <Pages>11</Pages>
  <Words>2692</Words>
  <Characters>4255</Characters>
  <Lines>24</Lines>
  <Paragraphs>6</Paragraphs>
  <TotalTime>0</TotalTime>
  <ScaleCrop>false</ScaleCrop>
  <LinksUpToDate>false</LinksUpToDate>
  <CharactersWithSpaces>4300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2023-01-03T05:20:00Z</dcterms:created>
  <dc:creator>Administrator</dc:creator>
  <cp:lastModifiedBy>Administrator</cp:lastModifiedBy>
  <dcterms:modified xsi:type="dcterms:W3CDTF">2023-01-03T05:20:58Z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