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E034E" w14:textId="749B43DC" w:rsidR="00755754" w:rsidRPr="00AC5A7D" w:rsidRDefault="00755754" w:rsidP="00AC5A7D">
      <w:pPr>
        <w:jc w:val="center"/>
        <w:rPr>
          <w:rFonts w:ascii="宋体" w:eastAsia="宋体" w:hAnsi="宋体"/>
          <w:b/>
          <w:bCs/>
          <w:sz w:val="32"/>
          <w:szCs w:val="32"/>
        </w:rPr>
      </w:pPr>
      <w:r w:rsidRPr="00AC5A7D">
        <w:rPr>
          <w:rFonts w:ascii="宋体" w:eastAsia="宋体" w:hAnsi="宋体" w:hint="eastAsia"/>
          <w:b/>
          <w:bCs/>
          <w:sz w:val="32"/>
          <w:szCs w:val="32"/>
        </w:rPr>
        <w:t>基于模块化应对后疫情时代校园建筑——大学生活动中心设计</w:t>
      </w:r>
      <w:r w:rsidRPr="00AC5A7D">
        <w:rPr>
          <w:rFonts w:ascii="宋体" w:eastAsia="宋体" w:hAnsi="宋体" w:hint="eastAsia"/>
          <w:b/>
          <w:bCs/>
          <w:sz w:val="32"/>
          <w:szCs w:val="32"/>
        </w:rPr>
        <w:t>方案说明</w:t>
      </w:r>
    </w:p>
    <w:p w14:paraId="5ABF0CBF" w14:textId="4E88E48F" w:rsidR="00755754" w:rsidRDefault="00755754" w:rsidP="00755754">
      <w:pPr>
        <w:pStyle w:val="a8"/>
        <w:numPr>
          <w:ilvl w:val="0"/>
          <w:numId w:val="2"/>
        </w:numPr>
        <w:spacing w:line="360" w:lineRule="auto"/>
        <w:ind w:firstLineChars="0"/>
        <w:jc w:val="center"/>
        <w:rPr>
          <w:rFonts w:ascii="宋体" w:eastAsia="宋体" w:hAnsi="宋体"/>
          <w:b/>
          <w:bCs/>
          <w:sz w:val="24"/>
          <w:szCs w:val="24"/>
        </w:rPr>
      </w:pPr>
      <w:r w:rsidRPr="00755754">
        <w:rPr>
          <w:rFonts w:ascii="宋体" w:eastAsia="宋体" w:hAnsi="宋体" w:hint="eastAsia"/>
          <w:b/>
          <w:bCs/>
          <w:sz w:val="24"/>
          <w:szCs w:val="24"/>
        </w:rPr>
        <w:t>概述</w:t>
      </w:r>
    </w:p>
    <w:p w14:paraId="247626BA" w14:textId="77777777" w:rsidR="00755754" w:rsidRPr="00050A67" w:rsidRDefault="00755754" w:rsidP="00755754">
      <w:pPr>
        <w:spacing w:line="360" w:lineRule="auto"/>
        <w:rPr>
          <w:rFonts w:ascii="宋体" w:eastAsia="宋体" w:hAnsi="宋体" w:hint="eastAsia"/>
          <w:b/>
          <w:bCs/>
          <w:sz w:val="24"/>
          <w:szCs w:val="24"/>
        </w:rPr>
      </w:pPr>
      <w:r>
        <w:rPr>
          <w:rFonts w:ascii="宋体" w:eastAsia="宋体" w:hAnsi="宋体" w:hint="eastAsia"/>
          <w:b/>
          <w:bCs/>
          <w:sz w:val="24"/>
          <w:szCs w:val="24"/>
        </w:rPr>
        <w:t xml:space="preserve"> </w:t>
      </w:r>
      <w:r w:rsidRPr="00050A67">
        <w:rPr>
          <w:rFonts w:ascii="宋体" w:eastAsia="宋体" w:hAnsi="宋体" w:hint="eastAsia"/>
          <w:b/>
          <w:bCs/>
          <w:sz w:val="24"/>
          <w:szCs w:val="24"/>
        </w:rPr>
        <w:t>1.1改造背景</w:t>
      </w:r>
    </w:p>
    <w:p w14:paraId="63B88263" w14:textId="77777777" w:rsidR="00755754" w:rsidRPr="00755754" w:rsidRDefault="00755754" w:rsidP="00755754">
      <w:pPr>
        <w:spacing w:line="360" w:lineRule="auto"/>
        <w:ind w:firstLineChars="200" w:firstLine="480"/>
        <w:rPr>
          <w:rFonts w:ascii="宋体" w:eastAsia="宋体" w:hAnsi="宋体" w:hint="eastAsia"/>
          <w:sz w:val="24"/>
          <w:szCs w:val="24"/>
        </w:rPr>
      </w:pPr>
      <w:r w:rsidRPr="00755754">
        <w:rPr>
          <w:rFonts w:ascii="宋体" w:eastAsia="宋体" w:hAnsi="宋体" w:hint="eastAsia"/>
          <w:sz w:val="24"/>
          <w:szCs w:val="24"/>
        </w:rPr>
        <w:t>1.1.1区位：</w:t>
      </w:r>
    </w:p>
    <w:p w14:paraId="386F017B" w14:textId="19A5303A" w:rsidR="00755754" w:rsidRPr="00755754" w:rsidRDefault="00755754" w:rsidP="00755754">
      <w:pPr>
        <w:spacing w:line="360" w:lineRule="auto"/>
        <w:ind w:firstLineChars="200" w:firstLine="480"/>
        <w:rPr>
          <w:rFonts w:ascii="宋体" w:eastAsia="宋体" w:hAnsi="宋体" w:hint="eastAsia"/>
          <w:sz w:val="24"/>
          <w:szCs w:val="24"/>
        </w:rPr>
      </w:pPr>
      <w:r w:rsidRPr="00755754">
        <w:rPr>
          <w:rFonts w:ascii="宋体" w:eastAsia="宋体" w:hAnsi="宋体" w:hint="eastAsia"/>
          <w:sz w:val="24"/>
          <w:szCs w:val="24"/>
        </w:rPr>
        <w:t>本案用地区位位于江西省</w:t>
      </w:r>
      <w:r w:rsidRPr="00755754">
        <w:rPr>
          <w:rFonts w:ascii="宋体" w:eastAsia="宋体" w:hAnsi="宋体" w:hint="eastAsia"/>
          <w:sz w:val="24"/>
          <w:szCs w:val="24"/>
        </w:rPr>
        <w:t>南昌市南昌县红谷滩区南昌大学前湖校区内，</w:t>
      </w:r>
      <w:r w:rsidRPr="00755754">
        <w:rPr>
          <w:rFonts w:ascii="宋体" w:eastAsia="宋体" w:hAnsi="宋体"/>
          <w:sz w:val="24"/>
          <w:szCs w:val="24"/>
        </w:rPr>
        <w:t>红谷滩区隶属于江西省南昌市，位于江西省中北部，赣江西岸</w:t>
      </w:r>
      <w:r w:rsidRPr="00755754">
        <w:rPr>
          <w:rFonts w:ascii="宋体" w:eastAsia="宋体" w:hAnsi="宋体" w:hint="eastAsia"/>
          <w:sz w:val="24"/>
          <w:szCs w:val="24"/>
        </w:rPr>
        <w:t>。</w:t>
      </w:r>
    </w:p>
    <w:p w14:paraId="1598ACA5" w14:textId="11B637D0" w:rsidR="00755754" w:rsidRPr="00755754" w:rsidRDefault="00755754" w:rsidP="00755754">
      <w:pPr>
        <w:spacing w:line="360" w:lineRule="auto"/>
        <w:ind w:firstLineChars="200" w:firstLine="480"/>
        <w:rPr>
          <w:rFonts w:ascii="宋体" w:eastAsia="宋体" w:hAnsi="宋体" w:hint="eastAsia"/>
          <w:sz w:val="24"/>
          <w:szCs w:val="24"/>
        </w:rPr>
      </w:pPr>
      <w:r w:rsidRPr="00755754">
        <w:rPr>
          <w:rFonts w:ascii="宋体" w:eastAsia="宋体" w:hAnsi="宋体" w:hint="eastAsia"/>
          <w:sz w:val="24"/>
          <w:szCs w:val="24"/>
        </w:rPr>
        <w:t>1.1.2</w:t>
      </w:r>
      <w:r w:rsidR="00A623D8">
        <w:rPr>
          <w:rFonts w:ascii="宋体" w:eastAsia="宋体" w:hAnsi="宋体" w:hint="eastAsia"/>
          <w:sz w:val="24"/>
          <w:szCs w:val="24"/>
        </w:rPr>
        <w:t>设计</w:t>
      </w:r>
      <w:r w:rsidRPr="00755754">
        <w:rPr>
          <w:rFonts w:ascii="宋体" w:eastAsia="宋体" w:hAnsi="宋体" w:hint="eastAsia"/>
          <w:sz w:val="24"/>
          <w:szCs w:val="24"/>
        </w:rPr>
        <w:t>要求：</w:t>
      </w:r>
    </w:p>
    <w:p w14:paraId="1D23EB11" w14:textId="13F2C515" w:rsidR="00755754" w:rsidRPr="00755754" w:rsidRDefault="00755754" w:rsidP="00755754">
      <w:pPr>
        <w:spacing w:line="360" w:lineRule="auto"/>
        <w:ind w:leftChars="267" w:left="561"/>
        <w:rPr>
          <w:rFonts w:ascii="宋体" w:eastAsia="宋体" w:hAnsi="宋体" w:hint="eastAsia"/>
          <w:sz w:val="24"/>
          <w:szCs w:val="24"/>
        </w:rPr>
      </w:pPr>
      <w:r w:rsidRPr="00755754">
        <w:rPr>
          <w:rFonts w:ascii="宋体" w:eastAsia="宋体" w:hAnsi="宋体" w:hint="eastAsia"/>
          <w:sz w:val="24"/>
          <w:szCs w:val="24"/>
        </w:rPr>
        <w:t>结合场地地形地貌、环境气候，配合原有建筑种种问题现状及矛盾，运用绿色建筑设计标准进行</w:t>
      </w:r>
      <w:r w:rsidR="00A623D8">
        <w:rPr>
          <w:rFonts w:ascii="宋体" w:eastAsia="宋体" w:hAnsi="宋体" w:hint="eastAsia"/>
          <w:sz w:val="24"/>
          <w:szCs w:val="24"/>
        </w:rPr>
        <w:t>大学生活动中心</w:t>
      </w:r>
      <w:r w:rsidRPr="00755754">
        <w:rPr>
          <w:rFonts w:ascii="宋体" w:eastAsia="宋体" w:hAnsi="宋体" w:hint="eastAsia"/>
          <w:sz w:val="24"/>
          <w:szCs w:val="24"/>
        </w:rPr>
        <w:t>设计。</w:t>
      </w:r>
    </w:p>
    <w:p w14:paraId="05FDBCB4" w14:textId="6271331F" w:rsidR="00755754" w:rsidRPr="00755754" w:rsidRDefault="00755754" w:rsidP="00755754">
      <w:pPr>
        <w:spacing w:line="360" w:lineRule="auto"/>
        <w:ind w:firstLineChars="200" w:firstLine="480"/>
        <w:rPr>
          <w:rFonts w:ascii="宋体" w:eastAsia="宋体" w:hAnsi="宋体" w:hint="eastAsia"/>
          <w:sz w:val="24"/>
          <w:szCs w:val="24"/>
        </w:rPr>
      </w:pPr>
      <w:r w:rsidRPr="00755754">
        <w:rPr>
          <w:rFonts w:ascii="宋体" w:eastAsia="宋体" w:hAnsi="宋体" w:hint="eastAsia"/>
          <w:sz w:val="24"/>
          <w:szCs w:val="24"/>
        </w:rPr>
        <w:t>1.1.3</w:t>
      </w:r>
      <w:r w:rsidR="00A623D8">
        <w:rPr>
          <w:rFonts w:ascii="宋体" w:eastAsia="宋体" w:hAnsi="宋体" w:hint="eastAsia"/>
          <w:sz w:val="24"/>
          <w:szCs w:val="24"/>
        </w:rPr>
        <w:t>基地周边</w:t>
      </w:r>
      <w:r w:rsidRPr="00755754">
        <w:rPr>
          <w:rFonts w:ascii="宋体" w:eastAsia="宋体" w:hAnsi="宋体" w:hint="eastAsia"/>
          <w:sz w:val="24"/>
          <w:szCs w:val="24"/>
        </w:rPr>
        <w:t>：</w:t>
      </w:r>
    </w:p>
    <w:p w14:paraId="46FAA47F" w14:textId="5DDE478B" w:rsidR="00A623D8" w:rsidRDefault="00A623D8" w:rsidP="00A623D8">
      <w:pPr>
        <w:spacing w:line="360" w:lineRule="auto"/>
        <w:ind w:firstLineChars="200" w:firstLine="480"/>
        <w:rPr>
          <w:rFonts w:ascii="宋体" w:eastAsia="宋体" w:hAnsi="宋体"/>
          <w:sz w:val="24"/>
          <w:szCs w:val="24"/>
        </w:rPr>
      </w:pPr>
      <w:r w:rsidRPr="00A623D8">
        <w:rPr>
          <w:rFonts w:ascii="宋体" w:eastAsia="宋体" w:hAnsi="宋体" w:hint="eastAsia"/>
          <w:sz w:val="24"/>
          <w:szCs w:val="24"/>
        </w:rPr>
        <w:t>建筑基地北临校园次干道，东西南向为校园支路</w:t>
      </w:r>
      <w:r w:rsidR="00AC5A7D">
        <w:rPr>
          <w:rFonts w:ascii="宋体" w:eastAsia="宋体" w:hAnsi="宋体" w:hint="eastAsia"/>
          <w:sz w:val="24"/>
          <w:szCs w:val="24"/>
        </w:rPr>
        <w:t>，</w:t>
      </w:r>
      <w:r w:rsidRPr="00A623D8">
        <w:rPr>
          <w:rFonts w:ascii="宋体" w:eastAsia="宋体" w:hAnsi="宋体" w:hint="eastAsia"/>
          <w:sz w:val="24"/>
          <w:szCs w:val="24"/>
        </w:rPr>
        <w:t>人流车流较多，是拟建大学生活动中心的理想之地。</w:t>
      </w:r>
    </w:p>
    <w:p w14:paraId="25FC4727" w14:textId="505428CA" w:rsidR="00755754" w:rsidRPr="00050A67" w:rsidRDefault="00755754" w:rsidP="00AC5A7D">
      <w:pPr>
        <w:spacing w:line="360" w:lineRule="auto"/>
        <w:rPr>
          <w:rFonts w:ascii="宋体" w:eastAsia="宋体" w:hAnsi="宋体" w:hint="eastAsia"/>
          <w:b/>
          <w:bCs/>
          <w:sz w:val="24"/>
          <w:szCs w:val="24"/>
        </w:rPr>
      </w:pPr>
      <w:r w:rsidRPr="00050A67">
        <w:rPr>
          <w:rFonts w:ascii="宋体" w:eastAsia="宋体" w:hAnsi="宋体" w:hint="eastAsia"/>
          <w:b/>
          <w:bCs/>
          <w:sz w:val="24"/>
          <w:szCs w:val="24"/>
        </w:rPr>
        <w:t>1.2</w:t>
      </w:r>
      <w:r w:rsidR="00A623D8" w:rsidRPr="00050A67">
        <w:rPr>
          <w:rFonts w:ascii="宋体" w:eastAsia="宋体" w:hAnsi="宋体" w:hint="eastAsia"/>
          <w:b/>
          <w:bCs/>
          <w:sz w:val="24"/>
          <w:szCs w:val="24"/>
        </w:rPr>
        <w:t>设计</w:t>
      </w:r>
      <w:r w:rsidRPr="00050A67">
        <w:rPr>
          <w:rFonts w:ascii="宋体" w:eastAsia="宋体" w:hAnsi="宋体" w:hint="eastAsia"/>
          <w:b/>
          <w:bCs/>
          <w:sz w:val="24"/>
          <w:szCs w:val="24"/>
        </w:rPr>
        <w:t>依据</w:t>
      </w:r>
    </w:p>
    <w:p w14:paraId="5A426E52" w14:textId="77777777" w:rsidR="00755754" w:rsidRPr="00755754" w:rsidRDefault="00755754" w:rsidP="00755754">
      <w:pPr>
        <w:spacing w:line="360" w:lineRule="auto"/>
        <w:ind w:firstLineChars="200" w:firstLine="480"/>
        <w:rPr>
          <w:rFonts w:ascii="宋体" w:eastAsia="宋体" w:hAnsi="宋体" w:hint="eastAsia"/>
          <w:sz w:val="24"/>
          <w:szCs w:val="24"/>
        </w:rPr>
      </w:pPr>
      <w:r w:rsidRPr="00755754">
        <w:rPr>
          <w:rFonts w:ascii="宋体" w:eastAsia="宋体" w:hAnsi="宋体" w:hint="eastAsia"/>
          <w:sz w:val="24"/>
          <w:szCs w:val="24"/>
        </w:rPr>
        <w:t>《中华人民共和国城乡规划法》</w:t>
      </w:r>
    </w:p>
    <w:p w14:paraId="418F20BF" w14:textId="77777777" w:rsidR="00755754" w:rsidRPr="00755754" w:rsidRDefault="00755754" w:rsidP="00755754">
      <w:pPr>
        <w:spacing w:line="360" w:lineRule="auto"/>
        <w:ind w:firstLineChars="200" w:firstLine="480"/>
        <w:rPr>
          <w:rFonts w:ascii="宋体" w:eastAsia="宋体" w:hAnsi="宋体" w:hint="eastAsia"/>
          <w:sz w:val="24"/>
          <w:szCs w:val="24"/>
        </w:rPr>
      </w:pPr>
      <w:r w:rsidRPr="00755754">
        <w:rPr>
          <w:rFonts w:ascii="宋体" w:eastAsia="宋体" w:hAnsi="宋体" w:hint="eastAsia"/>
          <w:sz w:val="24"/>
          <w:szCs w:val="24"/>
        </w:rPr>
        <w:t>《城市规划编制办法实施细则》</w:t>
      </w:r>
    </w:p>
    <w:p w14:paraId="2AE81AE0" w14:textId="77777777" w:rsidR="00755754" w:rsidRPr="00755754" w:rsidRDefault="00755754" w:rsidP="00755754">
      <w:pPr>
        <w:spacing w:line="360" w:lineRule="auto"/>
        <w:ind w:firstLineChars="200" w:firstLine="480"/>
        <w:rPr>
          <w:rFonts w:ascii="宋体" w:eastAsia="宋体" w:hAnsi="宋体" w:hint="eastAsia"/>
          <w:sz w:val="24"/>
          <w:szCs w:val="24"/>
        </w:rPr>
      </w:pPr>
      <w:r w:rsidRPr="00755754">
        <w:rPr>
          <w:rFonts w:ascii="宋体" w:eastAsia="宋体" w:hAnsi="宋体" w:hint="eastAsia"/>
          <w:sz w:val="24"/>
          <w:szCs w:val="24"/>
        </w:rPr>
        <w:t>《城市规划用地分类与城市用地标准》</w:t>
      </w:r>
    </w:p>
    <w:p w14:paraId="255BD4E6" w14:textId="77777777" w:rsidR="00755754" w:rsidRPr="00755754" w:rsidRDefault="00755754" w:rsidP="00755754">
      <w:pPr>
        <w:spacing w:line="360" w:lineRule="auto"/>
        <w:ind w:firstLineChars="200" w:firstLine="480"/>
        <w:rPr>
          <w:rFonts w:ascii="宋体" w:eastAsia="宋体" w:hAnsi="宋体" w:hint="eastAsia"/>
          <w:sz w:val="24"/>
          <w:szCs w:val="24"/>
        </w:rPr>
      </w:pPr>
      <w:r w:rsidRPr="00755754">
        <w:rPr>
          <w:rFonts w:ascii="宋体" w:eastAsia="宋体" w:hAnsi="宋体" w:hint="eastAsia"/>
          <w:sz w:val="24"/>
          <w:szCs w:val="24"/>
        </w:rPr>
        <w:t>《既有建筑绿色改造评价标准》</w:t>
      </w:r>
      <w:r w:rsidRPr="00755754">
        <w:rPr>
          <w:rFonts w:ascii="宋体" w:eastAsia="宋体" w:hAnsi="宋体"/>
          <w:sz w:val="24"/>
          <w:szCs w:val="24"/>
        </w:rPr>
        <w:t>GBT 51141-2015</w:t>
      </w:r>
      <w:r w:rsidRPr="00755754">
        <w:rPr>
          <w:rFonts w:ascii="宋体" w:eastAsia="宋体" w:hAnsi="宋体" w:hint="eastAsia"/>
          <w:sz w:val="24"/>
          <w:szCs w:val="24"/>
        </w:rPr>
        <w:tab/>
      </w:r>
    </w:p>
    <w:p w14:paraId="4F034702" w14:textId="77777777" w:rsidR="00755754" w:rsidRPr="00755754" w:rsidRDefault="00755754" w:rsidP="00755754">
      <w:pPr>
        <w:spacing w:line="360" w:lineRule="auto"/>
        <w:ind w:firstLineChars="200" w:firstLine="480"/>
        <w:rPr>
          <w:rFonts w:ascii="宋体" w:eastAsia="宋体" w:hAnsi="宋体" w:hint="eastAsia"/>
          <w:sz w:val="24"/>
          <w:szCs w:val="24"/>
        </w:rPr>
      </w:pPr>
      <w:r w:rsidRPr="00755754">
        <w:rPr>
          <w:rFonts w:ascii="宋体" w:eastAsia="宋体" w:hAnsi="宋体" w:hint="eastAsia"/>
          <w:sz w:val="24"/>
          <w:szCs w:val="24"/>
        </w:rPr>
        <w:t>《民用建筑设计通则》GB50352-2005</w:t>
      </w:r>
      <w:r w:rsidRPr="00755754">
        <w:rPr>
          <w:rFonts w:ascii="宋体" w:eastAsia="宋体" w:hAnsi="宋体" w:hint="eastAsia"/>
          <w:sz w:val="24"/>
          <w:szCs w:val="24"/>
        </w:rPr>
        <w:tab/>
      </w:r>
      <w:r w:rsidRPr="00755754">
        <w:rPr>
          <w:rFonts w:ascii="宋体" w:eastAsia="宋体" w:hAnsi="宋体" w:hint="eastAsia"/>
          <w:sz w:val="24"/>
          <w:szCs w:val="24"/>
        </w:rPr>
        <w:tab/>
      </w:r>
    </w:p>
    <w:p w14:paraId="4BC7EE32" w14:textId="77777777" w:rsidR="00755754" w:rsidRPr="00755754" w:rsidRDefault="00755754" w:rsidP="00755754">
      <w:pPr>
        <w:spacing w:line="360" w:lineRule="auto"/>
        <w:ind w:firstLineChars="200" w:firstLine="480"/>
        <w:rPr>
          <w:rFonts w:ascii="宋体" w:eastAsia="宋体" w:hAnsi="宋体" w:hint="eastAsia"/>
          <w:sz w:val="24"/>
          <w:szCs w:val="24"/>
        </w:rPr>
      </w:pPr>
      <w:r w:rsidRPr="00755754">
        <w:rPr>
          <w:rFonts w:ascii="宋体" w:eastAsia="宋体" w:hAnsi="宋体" w:hint="eastAsia"/>
          <w:sz w:val="24"/>
          <w:szCs w:val="24"/>
        </w:rPr>
        <w:t>《建筑设计防火规范》GB5016-2013</w:t>
      </w:r>
    </w:p>
    <w:p w14:paraId="5009BF2B" w14:textId="77777777" w:rsidR="00755754" w:rsidRPr="00755754" w:rsidRDefault="00755754" w:rsidP="00755754">
      <w:pPr>
        <w:spacing w:line="360" w:lineRule="auto"/>
        <w:ind w:firstLineChars="200" w:firstLine="480"/>
        <w:rPr>
          <w:rFonts w:ascii="宋体" w:eastAsia="宋体" w:hAnsi="宋体" w:hint="eastAsia"/>
          <w:sz w:val="24"/>
          <w:szCs w:val="24"/>
        </w:rPr>
      </w:pPr>
      <w:r w:rsidRPr="00755754">
        <w:rPr>
          <w:rFonts w:ascii="宋体" w:eastAsia="宋体" w:hAnsi="宋体" w:hint="eastAsia"/>
          <w:sz w:val="24"/>
          <w:szCs w:val="24"/>
        </w:rPr>
        <w:t>《城市道路和建筑物无障碍设计规范》JGJ50-J114-2001</w:t>
      </w:r>
    </w:p>
    <w:p w14:paraId="20F7A7A5" w14:textId="77777777" w:rsidR="00755754" w:rsidRPr="00755754" w:rsidRDefault="00755754" w:rsidP="00755754">
      <w:pPr>
        <w:spacing w:line="360" w:lineRule="auto"/>
        <w:ind w:firstLineChars="250" w:firstLine="600"/>
        <w:rPr>
          <w:rFonts w:ascii="宋体" w:eastAsia="宋体" w:hAnsi="宋体"/>
          <w:sz w:val="24"/>
          <w:szCs w:val="24"/>
        </w:rPr>
      </w:pPr>
      <w:r w:rsidRPr="00755754">
        <w:rPr>
          <w:rFonts w:ascii="宋体" w:eastAsia="宋体" w:hAnsi="宋体" w:hint="eastAsia"/>
          <w:sz w:val="24"/>
          <w:szCs w:val="24"/>
        </w:rPr>
        <w:t>各工种工程设计的国家规范及地方规定</w:t>
      </w:r>
    </w:p>
    <w:p w14:paraId="57E7224E" w14:textId="36065195" w:rsidR="00755754" w:rsidRDefault="00755754" w:rsidP="00755754">
      <w:pPr>
        <w:spacing w:line="360" w:lineRule="auto"/>
        <w:ind w:firstLineChars="250" w:firstLine="600"/>
        <w:rPr>
          <w:rFonts w:ascii="宋体" w:eastAsia="宋体" w:hAnsi="宋体"/>
          <w:sz w:val="24"/>
          <w:szCs w:val="24"/>
        </w:rPr>
      </w:pPr>
      <w:r w:rsidRPr="00755754">
        <w:rPr>
          <w:rFonts w:ascii="宋体" w:eastAsia="宋体" w:hAnsi="宋体" w:hint="eastAsia"/>
          <w:sz w:val="24"/>
          <w:szCs w:val="24"/>
        </w:rPr>
        <w:t>地形及红线图</w:t>
      </w:r>
    </w:p>
    <w:p w14:paraId="34C2DE3F" w14:textId="0E6937B3" w:rsidR="00A623D8" w:rsidRPr="00A623D8" w:rsidRDefault="00A623D8" w:rsidP="00A623D8">
      <w:pPr>
        <w:pStyle w:val="a8"/>
        <w:spacing w:line="360" w:lineRule="auto"/>
        <w:ind w:left="970" w:firstLineChars="800" w:firstLine="1928"/>
        <w:rPr>
          <w:rFonts w:ascii="宋体" w:eastAsia="宋体" w:hAnsi="宋体" w:hint="eastAsia"/>
          <w:b/>
          <w:bCs/>
          <w:sz w:val="24"/>
          <w:szCs w:val="24"/>
        </w:rPr>
      </w:pPr>
      <w:r w:rsidRPr="00A623D8">
        <w:rPr>
          <w:rFonts w:ascii="宋体" w:eastAsia="宋体" w:hAnsi="宋体" w:hint="eastAsia"/>
          <w:b/>
          <w:bCs/>
          <w:sz w:val="24"/>
          <w:szCs w:val="24"/>
        </w:rPr>
        <w:t xml:space="preserve">第二章  </w:t>
      </w:r>
      <w:r>
        <w:rPr>
          <w:rFonts w:ascii="宋体" w:eastAsia="宋体" w:hAnsi="宋体" w:hint="eastAsia"/>
          <w:b/>
          <w:bCs/>
          <w:sz w:val="24"/>
          <w:szCs w:val="24"/>
        </w:rPr>
        <w:t>设计</w:t>
      </w:r>
      <w:r w:rsidRPr="00A623D8">
        <w:rPr>
          <w:rFonts w:ascii="宋体" w:eastAsia="宋体" w:hAnsi="宋体" w:hint="eastAsia"/>
          <w:b/>
          <w:bCs/>
          <w:sz w:val="24"/>
          <w:szCs w:val="24"/>
        </w:rPr>
        <w:t>总体目标及措施</w:t>
      </w:r>
    </w:p>
    <w:p w14:paraId="50548098" w14:textId="55597EEA" w:rsidR="00A623D8" w:rsidRPr="00050A67" w:rsidRDefault="00A623D8" w:rsidP="00050A67">
      <w:pPr>
        <w:spacing w:line="360" w:lineRule="auto"/>
        <w:rPr>
          <w:rFonts w:ascii="宋体" w:eastAsia="宋体" w:hAnsi="宋体"/>
          <w:b/>
          <w:bCs/>
          <w:sz w:val="24"/>
          <w:szCs w:val="24"/>
        </w:rPr>
      </w:pPr>
      <w:r w:rsidRPr="00050A67">
        <w:rPr>
          <w:rFonts w:ascii="宋体" w:eastAsia="宋体" w:hAnsi="宋体" w:hint="eastAsia"/>
          <w:b/>
          <w:bCs/>
          <w:sz w:val="24"/>
          <w:szCs w:val="24"/>
        </w:rPr>
        <w:t>2.1问题现状</w:t>
      </w:r>
    </w:p>
    <w:p w14:paraId="54D6245B" w14:textId="20F7F3D4" w:rsidR="00A623D8" w:rsidRPr="00050A67" w:rsidRDefault="00A623D8" w:rsidP="00050A67">
      <w:pPr>
        <w:spacing w:line="360" w:lineRule="auto"/>
        <w:ind w:firstLineChars="250" w:firstLine="600"/>
        <w:rPr>
          <w:rFonts w:ascii="宋体" w:eastAsia="宋体" w:hAnsi="宋体" w:hint="eastAsia"/>
          <w:sz w:val="24"/>
          <w:szCs w:val="24"/>
        </w:rPr>
      </w:pPr>
      <w:r w:rsidRPr="00050A67">
        <w:rPr>
          <w:rFonts w:ascii="宋体" w:eastAsia="宋体" w:hAnsi="宋体"/>
          <w:sz w:val="24"/>
          <w:szCs w:val="24"/>
        </w:rPr>
        <w:t>2.1.1</w:t>
      </w:r>
      <w:r w:rsidRPr="00050A67">
        <w:rPr>
          <w:rFonts w:ascii="宋体" w:eastAsia="宋体" w:hAnsi="宋体" w:hint="eastAsia"/>
          <w:sz w:val="24"/>
          <w:szCs w:val="24"/>
        </w:rPr>
        <w:t>建筑基地周边缺乏可供大学生活动交流的场所，学生在上下课期间无法找到一个可以让大学生讨论交流、运动休闲、</w:t>
      </w:r>
      <w:r w:rsidR="00603500" w:rsidRPr="00050A67">
        <w:rPr>
          <w:rFonts w:ascii="宋体" w:eastAsia="宋体" w:hAnsi="宋体" w:hint="eastAsia"/>
          <w:sz w:val="24"/>
          <w:szCs w:val="24"/>
        </w:rPr>
        <w:t>兴趣互动、休憩观光的综合性建筑。</w:t>
      </w:r>
    </w:p>
    <w:p w14:paraId="363D886F" w14:textId="74417BF8" w:rsidR="00A623D8" w:rsidRPr="00050A67" w:rsidRDefault="00A623D8" w:rsidP="00050A67">
      <w:pPr>
        <w:spacing w:line="360" w:lineRule="auto"/>
        <w:ind w:firstLineChars="250" w:firstLine="600"/>
        <w:rPr>
          <w:rFonts w:ascii="宋体" w:eastAsia="宋体" w:hAnsi="宋体" w:hint="eastAsia"/>
          <w:sz w:val="24"/>
          <w:szCs w:val="24"/>
        </w:rPr>
      </w:pPr>
      <w:r w:rsidRPr="00050A67">
        <w:rPr>
          <w:rFonts w:ascii="宋体" w:eastAsia="宋体" w:hAnsi="宋体"/>
          <w:sz w:val="24"/>
          <w:szCs w:val="24"/>
        </w:rPr>
        <w:t>2.1.2</w:t>
      </w:r>
      <w:r w:rsidR="00603500" w:rsidRPr="00050A67">
        <w:rPr>
          <w:rFonts w:ascii="宋体" w:eastAsia="宋体" w:hAnsi="宋体" w:hint="eastAsia"/>
          <w:sz w:val="24"/>
          <w:szCs w:val="24"/>
        </w:rPr>
        <w:t xml:space="preserve">基地原为平缓的草坡，在本次设计中需将草坡铲平，以方便后续大学生活动中心设计开展。 </w:t>
      </w:r>
    </w:p>
    <w:p w14:paraId="71A7C7D6" w14:textId="574B40BB" w:rsidR="00A623D8" w:rsidRPr="00050A67" w:rsidRDefault="00A623D8" w:rsidP="00050A67">
      <w:pPr>
        <w:spacing w:line="360" w:lineRule="auto"/>
        <w:ind w:firstLineChars="250" w:firstLine="600"/>
        <w:rPr>
          <w:rFonts w:ascii="宋体" w:eastAsia="宋体" w:hAnsi="宋体"/>
          <w:sz w:val="24"/>
          <w:szCs w:val="24"/>
        </w:rPr>
      </w:pPr>
      <w:r w:rsidRPr="00050A67">
        <w:rPr>
          <w:rFonts w:ascii="宋体" w:eastAsia="宋体" w:hAnsi="宋体"/>
          <w:sz w:val="24"/>
          <w:szCs w:val="24"/>
        </w:rPr>
        <w:lastRenderedPageBreak/>
        <w:t>2.1.3</w:t>
      </w:r>
      <w:r w:rsidR="00603500" w:rsidRPr="00050A67">
        <w:rPr>
          <w:rFonts w:ascii="宋体" w:eastAsia="宋体" w:hAnsi="宋体" w:hint="eastAsia"/>
          <w:sz w:val="24"/>
          <w:szCs w:val="24"/>
        </w:rPr>
        <w:t>校内</w:t>
      </w:r>
      <w:r w:rsidRPr="00050A67">
        <w:rPr>
          <w:rFonts w:ascii="宋体" w:eastAsia="宋体" w:hAnsi="宋体" w:hint="eastAsia"/>
          <w:sz w:val="24"/>
          <w:szCs w:val="24"/>
        </w:rPr>
        <w:t>教学</w:t>
      </w:r>
      <w:r w:rsidR="00603500" w:rsidRPr="00050A67">
        <w:rPr>
          <w:rFonts w:ascii="宋体" w:eastAsia="宋体" w:hAnsi="宋体" w:hint="eastAsia"/>
          <w:sz w:val="24"/>
          <w:szCs w:val="24"/>
        </w:rPr>
        <w:t>楼建筑</w:t>
      </w:r>
      <w:r w:rsidRPr="00050A67">
        <w:rPr>
          <w:rFonts w:ascii="宋体" w:eastAsia="宋体" w:hAnsi="宋体" w:hint="eastAsia"/>
          <w:sz w:val="24"/>
          <w:szCs w:val="24"/>
        </w:rPr>
        <w:t>单一，单廊式缺乏足够的空间，立面稍显呆板，遮阳效果差，未能激活校园的积极氛围，急需对不同形式的教学形式提供行为及心理需求的公共空间。</w:t>
      </w:r>
    </w:p>
    <w:p w14:paraId="3F77592E" w14:textId="01813F6F" w:rsidR="00A623D8" w:rsidRPr="00050A67" w:rsidRDefault="00A623D8" w:rsidP="00050A67">
      <w:pPr>
        <w:spacing w:line="360" w:lineRule="auto"/>
        <w:rPr>
          <w:rFonts w:ascii="宋体" w:eastAsia="宋体" w:hAnsi="宋体" w:hint="eastAsia"/>
          <w:b/>
          <w:bCs/>
          <w:sz w:val="24"/>
          <w:szCs w:val="24"/>
        </w:rPr>
      </w:pPr>
      <w:r w:rsidRPr="00050A67">
        <w:rPr>
          <w:rFonts w:ascii="宋体" w:eastAsia="宋体" w:hAnsi="宋体" w:hint="eastAsia"/>
          <w:b/>
          <w:bCs/>
          <w:sz w:val="24"/>
          <w:szCs w:val="24"/>
        </w:rPr>
        <w:t>2.</w:t>
      </w:r>
      <w:r w:rsidRPr="00050A67">
        <w:rPr>
          <w:rFonts w:ascii="宋体" w:eastAsia="宋体" w:hAnsi="宋体"/>
          <w:b/>
          <w:bCs/>
          <w:sz w:val="24"/>
          <w:szCs w:val="24"/>
        </w:rPr>
        <w:t>2</w:t>
      </w:r>
      <w:r w:rsidRPr="00050A67">
        <w:rPr>
          <w:rFonts w:ascii="宋体" w:eastAsia="宋体" w:hAnsi="宋体" w:hint="eastAsia"/>
          <w:b/>
          <w:bCs/>
          <w:sz w:val="24"/>
          <w:szCs w:val="24"/>
        </w:rPr>
        <w:t>改造目标</w:t>
      </w:r>
    </w:p>
    <w:p w14:paraId="60A513C6" w14:textId="77777777" w:rsidR="00A623D8" w:rsidRPr="00050A67" w:rsidRDefault="00A623D8"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2.2.1.希望改造后的建筑除去原有建筑的壁垒感，使人们交通便捷的到达功能清晰的功能空间，拥有较多的公共空间去参与更多的与建筑，学习，教学等有关的有趣的和更多有意义的事情之中。</w:t>
      </w:r>
    </w:p>
    <w:p w14:paraId="37F47982" w14:textId="4404ACFF" w:rsidR="00A623D8" w:rsidRPr="00050A67" w:rsidRDefault="00A623D8" w:rsidP="00050A67">
      <w:pPr>
        <w:spacing w:line="360" w:lineRule="auto"/>
        <w:ind w:firstLineChars="200" w:firstLine="480"/>
        <w:rPr>
          <w:rFonts w:ascii="宋体" w:eastAsia="宋体" w:hAnsi="宋体" w:hint="eastAsia"/>
          <w:sz w:val="24"/>
          <w:szCs w:val="24"/>
        </w:rPr>
      </w:pPr>
      <w:r w:rsidRPr="00050A67">
        <w:rPr>
          <w:rFonts w:ascii="宋体" w:eastAsia="宋体" w:hAnsi="宋体" w:hint="eastAsia"/>
          <w:sz w:val="24"/>
          <w:szCs w:val="24"/>
        </w:rPr>
        <w:t xml:space="preserve"> 2.2.2重新构架建筑已有的附属交通属性，构建不同高度的交通枢纽，使其成为人们通达便捷，体验感强的公共场所。</w:t>
      </w:r>
    </w:p>
    <w:p w14:paraId="38E63D41" w14:textId="026D9240" w:rsidR="00A623D8" w:rsidRPr="00050A67" w:rsidRDefault="00A623D8" w:rsidP="00050A67">
      <w:pPr>
        <w:spacing w:line="360" w:lineRule="auto"/>
        <w:rPr>
          <w:rFonts w:ascii="宋体" w:eastAsia="宋体" w:hAnsi="宋体" w:hint="eastAsia"/>
          <w:b/>
          <w:bCs/>
          <w:sz w:val="24"/>
          <w:szCs w:val="24"/>
        </w:rPr>
      </w:pPr>
      <w:r w:rsidRPr="00050A67">
        <w:rPr>
          <w:rFonts w:ascii="宋体" w:eastAsia="宋体" w:hAnsi="宋体" w:hint="eastAsia"/>
          <w:b/>
          <w:bCs/>
          <w:sz w:val="24"/>
          <w:szCs w:val="24"/>
        </w:rPr>
        <w:t>2.3改造策略</w:t>
      </w:r>
    </w:p>
    <w:p w14:paraId="072D7961" w14:textId="77777777" w:rsidR="00603500" w:rsidRPr="00050A67" w:rsidRDefault="00A623D8" w:rsidP="00050A67">
      <w:pPr>
        <w:spacing w:line="360" w:lineRule="auto"/>
        <w:ind w:firstLineChars="250" w:firstLine="600"/>
        <w:rPr>
          <w:rFonts w:ascii="宋体" w:eastAsia="宋体" w:hAnsi="宋体"/>
          <w:sz w:val="24"/>
          <w:szCs w:val="24"/>
        </w:rPr>
      </w:pPr>
      <w:r w:rsidRPr="00050A67">
        <w:rPr>
          <w:rFonts w:ascii="宋体" w:eastAsia="宋体" w:hAnsi="宋体" w:hint="eastAsia"/>
          <w:sz w:val="24"/>
          <w:szCs w:val="24"/>
        </w:rPr>
        <w:t>2.3.1</w:t>
      </w:r>
      <w:r w:rsidR="00603500" w:rsidRPr="00050A67">
        <w:rPr>
          <w:rFonts w:ascii="宋体" w:eastAsia="宋体" w:hAnsi="宋体" w:hint="eastAsia"/>
          <w:sz w:val="24"/>
          <w:szCs w:val="24"/>
        </w:rPr>
        <w:t>为了打破模块化的盒子建筑的壁垒感首先要将建筑与场地的关系加以处理，我们通过场地设计，消解建筑与场地的边界。对于庭院内部的处理，我们加入了连廊增强联系，并植入了大台阶与可参与的大平台直跑楼梯形式，通过钢结构以及竹钢的支撑，打造突破界限的通透与交互的感受。</w:t>
      </w:r>
    </w:p>
    <w:p w14:paraId="713727E3" w14:textId="77777777" w:rsidR="00603500" w:rsidRPr="00050A67" w:rsidRDefault="00A623D8" w:rsidP="00050A67">
      <w:pPr>
        <w:spacing w:line="360" w:lineRule="auto"/>
        <w:ind w:firstLineChars="250" w:firstLine="600"/>
        <w:rPr>
          <w:rFonts w:ascii="宋体" w:eastAsia="宋体" w:hAnsi="宋体"/>
          <w:sz w:val="24"/>
          <w:szCs w:val="24"/>
        </w:rPr>
      </w:pPr>
      <w:r w:rsidRPr="00050A67">
        <w:rPr>
          <w:rFonts w:ascii="宋体" w:eastAsia="宋体" w:hAnsi="宋体" w:hint="eastAsia"/>
          <w:sz w:val="24"/>
          <w:szCs w:val="24"/>
        </w:rPr>
        <w:t>2.3.2</w:t>
      </w:r>
      <w:r w:rsidR="00603500" w:rsidRPr="00050A67">
        <w:rPr>
          <w:rFonts w:ascii="宋体" w:eastAsia="宋体" w:hAnsi="宋体" w:hint="eastAsia"/>
          <w:sz w:val="24"/>
          <w:szCs w:val="24"/>
        </w:rPr>
        <w:t>我们在立面及功能布局上结合遮阳百叶与绿植并植入了多个独立的半开放空间，分别加入了不同的场景，以回应各功能下所需的新的形式，给使用群体留有不同的延展空间。以此实现我们“激发公共活力”的理念。</w:t>
      </w:r>
    </w:p>
    <w:p w14:paraId="6C0228FF" w14:textId="77777777" w:rsidR="00603500" w:rsidRPr="00050A67" w:rsidRDefault="00603500" w:rsidP="00050A67">
      <w:pPr>
        <w:spacing w:line="360" w:lineRule="auto"/>
        <w:ind w:firstLineChars="250" w:firstLine="600"/>
        <w:rPr>
          <w:rFonts w:ascii="宋体" w:eastAsia="宋体" w:hAnsi="宋体"/>
          <w:sz w:val="24"/>
          <w:szCs w:val="24"/>
        </w:rPr>
      </w:pPr>
      <w:r w:rsidRPr="00050A67">
        <w:rPr>
          <w:rFonts w:ascii="宋体" w:eastAsia="宋体" w:hAnsi="宋体" w:hint="eastAsia"/>
          <w:sz w:val="24"/>
          <w:szCs w:val="24"/>
        </w:rPr>
        <w:t>在打通的建筑内部，我们引入了优质的生态环境，优化了建筑通风采光的环境。人们行走在上人屋面的通道之间，沉浸在绿色自然氛围之中，半围合的空间加强了这种感受的亲切之感，使参与的群体有与自然深度融合的体验。这种形式是为了提供一个供人通行，交流，互动的公共空间，人们能在上面相遇，驻足，休憩发生各种有趣的积极的活泼的行为方式，让学生群体之间的互动得到了可能。</w:t>
      </w:r>
    </w:p>
    <w:p w14:paraId="51C20565" w14:textId="29EBB074" w:rsidR="00A623D8" w:rsidRPr="00050A67" w:rsidRDefault="00A623D8" w:rsidP="00050A67">
      <w:pPr>
        <w:spacing w:line="360" w:lineRule="auto"/>
        <w:rPr>
          <w:rFonts w:ascii="宋体" w:eastAsia="宋体" w:hAnsi="宋体" w:hint="eastAsia"/>
          <w:b/>
          <w:bCs/>
          <w:sz w:val="24"/>
          <w:szCs w:val="24"/>
        </w:rPr>
      </w:pPr>
      <w:r w:rsidRPr="00050A67">
        <w:rPr>
          <w:rFonts w:ascii="宋体" w:eastAsia="宋体" w:hAnsi="宋体" w:hint="eastAsia"/>
          <w:b/>
          <w:bCs/>
          <w:sz w:val="24"/>
          <w:szCs w:val="24"/>
        </w:rPr>
        <w:t>2.4节能措施</w:t>
      </w:r>
    </w:p>
    <w:p w14:paraId="1B55CF4B" w14:textId="0C914A9C" w:rsidR="00A623D8" w:rsidRPr="00050A67" w:rsidRDefault="00A623D8"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通过采用</w:t>
      </w:r>
      <w:r w:rsidR="00603500" w:rsidRPr="00050A67">
        <w:rPr>
          <w:rFonts w:ascii="宋体" w:eastAsia="宋体" w:hAnsi="宋体" w:hint="eastAsia"/>
          <w:sz w:val="24"/>
          <w:szCs w:val="24"/>
        </w:rPr>
        <w:t>太阳能板、光导管、新风系统、low</w:t>
      </w:r>
      <w:r w:rsidR="00603500" w:rsidRPr="00050A67">
        <w:rPr>
          <w:rFonts w:ascii="宋体" w:eastAsia="宋体" w:hAnsi="宋体"/>
          <w:sz w:val="24"/>
          <w:szCs w:val="24"/>
        </w:rPr>
        <w:t>-</w:t>
      </w:r>
      <w:r w:rsidR="00603500" w:rsidRPr="00050A67">
        <w:rPr>
          <w:rFonts w:ascii="宋体" w:eastAsia="宋体" w:hAnsi="宋体" w:hint="eastAsia"/>
          <w:sz w:val="24"/>
          <w:szCs w:val="24"/>
        </w:rPr>
        <w:t>e玻璃、遮阳板、雨水收集、置入中庭、地源热泵等绿建措施最大程度地提高建筑节能。</w:t>
      </w:r>
    </w:p>
    <w:p w14:paraId="45FE3914" w14:textId="77777777" w:rsidR="00A623D8" w:rsidRPr="00050A67" w:rsidRDefault="00A623D8" w:rsidP="00050A67">
      <w:pPr>
        <w:spacing w:line="360" w:lineRule="auto"/>
        <w:rPr>
          <w:rFonts w:ascii="宋体" w:eastAsia="宋体" w:hAnsi="宋体" w:hint="eastAsia"/>
          <w:b/>
          <w:bCs/>
          <w:sz w:val="24"/>
          <w:szCs w:val="24"/>
        </w:rPr>
      </w:pPr>
      <w:r w:rsidRPr="00050A67">
        <w:rPr>
          <w:rFonts w:ascii="宋体" w:eastAsia="宋体" w:hAnsi="宋体" w:hint="eastAsia"/>
          <w:b/>
          <w:bCs/>
          <w:sz w:val="24"/>
          <w:szCs w:val="24"/>
        </w:rPr>
        <w:t>2.5绿化景观系统</w:t>
      </w:r>
    </w:p>
    <w:p w14:paraId="44E07D05" w14:textId="37D4425E" w:rsidR="00A623D8" w:rsidRPr="00050A67" w:rsidRDefault="00A623D8"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绿化与公共空间布局在满足校园建筑</w:t>
      </w:r>
      <w:r w:rsidR="00603500" w:rsidRPr="00050A67">
        <w:rPr>
          <w:rFonts w:ascii="宋体" w:eastAsia="宋体" w:hAnsi="宋体" w:hint="eastAsia"/>
          <w:sz w:val="24"/>
          <w:szCs w:val="24"/>
        </w:rPr>
        <w:t>布置，绿化从室内</w:t>
      </w:r>
      <w:r w:rsidR="008617ED" w:rsidRPr="00050A67">
        <w:rPr>
          <w:rFonts w:ascii="宋体" w:eastAsia="宋体" w:hAnsi="宋体" w:hint="eastAsia"/>
          <w:sz w:val="24"/>
          <w:szCs w:val="24"/>
        </w:rPr>
        <w:t>至室外延伸。栏杆、屋顶、立面遮阳板等种植绿色植物，</w:t>
      </w:r>
      <w:r w:rsidR="00B93490" w:rsidRPr="00050A67">
        <w:rPr>
          <w:rFonts w:ascii="宋体" w:eastAsia="宋体" w:hAnsi="宋体" w:hint="eastAsia"/>
          <w:sz w:val="24"/>
          <w:szCs w:val="24"/>
        </w:rPr>
        <w:t>使人进入建筑后仿佛置身森林氧吧。</w:t>
      </w:r>
    </w:p>
    <w:p w14:paraId="732910F7" w14:textId="77777777" w:rsidR="00A623D8" w:rsidRPr="00050A67" w:rsidRDefault="00A623D8" w:rsidP="00050A67">
      <w:pPr>
        <w:spacing w:line="360" w:lineRule="auto"/>
        <w:rPr>
          <w:rFonts w:ascii="宋体" w:eastAsia="宋体" w:hAnsi="宋体" w:hint="eastAsia"/>
          <w:b/>
          <w:bCs/>
          <w:sz w:val="24"/>
          <w:szCs w:val="24"/>
        </w:rPr>
      </w:pPr>
      <w:r w:rsidRPr="00050A67">
        <w:rPr>
          <w:rFonts w:ascii="宋体" w:eastAsia="宋体" w:hAnsi="宋体" w:hint="eastAsia"/>
          <w:b/>
          <w:bCs/>
          <w:sz w:val="24"/>
          <w:szCs w:val="24"/>
        </w:rPr>
        <w:lastRenderedPageBreak/>
        <w:t>2.6成本控制</w:t>
      </w:r>
    </w:p>
    <w:p w14:paraId="097CC001" w14:textId="0CAD5270" w:rsidR="00A623D8" w:rsidRPr="00050A67" w:rsidRDefault="00A623D8"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2.</w:t>
      </w:r>
      <w:r w:rsidR="00B93490" w:rsidRPr="00050A67">
        <w:rPr>
          <w:rFonts w:ascii="宋体" w:eastAsia="宋体" w:hAnsi="宋体"/>
          <w:sz w:val="24"/>
          <w:szCs w:val="24"/>
        </w:rPr>
        <w:t>6</w:t>
      </w:r>
      <w:r w:rsidRPr="00050A67">
        <w:rPr>
          <w:rFonts w:ascii="宋体" w:eastAsia="宋体" w:hAnsi="宋体" w:hint="eastAsia"/>
          <w:sz w:val="24"/>
          <w:szCs w:val="24"/>
        </w:rPr>
        <w:t>.1建筑平面规整方正，尽量利用对称结构，使建筑体型尽量简单，减小住宅体形系数，降低能耗。最终达到降低建筑成本的目的。</w:t>
      </w:r>
    </w:p>
    <w:p w14:paraId="11DEABFA" w14:textId="6C970D84" w:rsidR="00A623D8" w:rsidRPr="00050A67" w:rsidRDefault="00A623D8" w:rsidP="00050A67">
      <w:pPr>
        <w:spacing w:line="360" w:lineRule="auto"/>
        <w:ind w:firstLineChars="250" w:firstLine="600"/>
        <w:rPr>
          <w:rFonts w:ascii="宋体" w:eastAsia="宋体" w:hAnsi="宋体"/>
          <w:sz w:val="24"/>
          <w:szCs w:val="24"/>
        </w:rPr>
      </w:pPr>
      <w:r w:rsidRPr="00050A67">
        <w:rPr>
          <w:rFonts w:ascii="宋体" w:eastAsia="宋体" w:hAnsi="宋体" w:hint="eastAsia"/>
          <w:sz w:val="24"/>
          <w:szCs w:val="24"/>
        </w:rPr>
        <w:t>2.</w:t>
      </w:r>
      <w:r w:rsidR="00B93490" w:rsidRPr="00050A67">
        <w:rPr>
          <w:rFonts w:ascii="宋体" w:eastAsia="宋体" w:hAnsi="宋体"/>
          <w:sz w:val="24"/>
          <w:szCs w:val="24"/>
        </w:rPr>
        <w:t>6</w:t>
      </w:r>
      <w:r w:rsidRPr="00050A67">
        <w:rPr>
          <w:rFonts w:ascii="宋体" w:eastAsia="宋体" w:hAnsi="宋体" w:hint="eastAsia"/>
          <w:sz w:val="24"/>
          <w:szCs w:val="24"/>
        </w:rPr>
        <w:t>.2利用层间线条，墙体材质突出建筑的特质，使建筑体型流畅，造型简洁，风格明快。</w:t>
      </w:r>
    </w:p>
    <w:p w14:paraId="56E6B0A3" w14:textId="6D5C5402" w:rsidR="00B93490" w:rsidRPr="00050A67" w:rsidRDefault="00B93490" w:rsidP="00050A67">
      <w:pPr>
        <w:spacing w:line="360" w:lineRule="auto"/>
        <w:rPr>
          <w:rFonts w:ascii="宋体" w:eastAsia="宋体" w:hAnsi="宋体"/>
          <w:b/>
          <w:bCs/>
          <w:sz w:val="24"/>
          <w:szCs w:val="24"/>
        </w:rPr>
      </w:pPr>
      <w:r w:rsidRPr="00050A67">
        <w:rPr>
          <w:rFonts w:ascii="宋体" w:eastAsia="宋体" w:hAnsi="宋体" w:hint="eastAsia"/>
          <w:b/>
          <w:bCs/>
          <w:sz w:val="24"/>
          <w:szCs w:val="24"/>
        </w:rPr>
        <w:t>2.</w:t>
      </w:r>
      <w:r w:rsidRPr="00050A67">
        <w:rPr>
          <w:rFonts w:ascii="宋体" w:eastAsia="宋体" w:hAnsi="宋体" w:hint="eastAsia"/>
          <w:b/>
          <w:bCs/>
          <w:sz w:val="24"/>
          <w:szCs w:val="24"/>
        </w:rPr>
        <w:t>7后疫情</w:t>
      </w:r>
      <w:r w:rsidR="00050A67">
        <w:rPr>
          <w:rFonts w:ascii="宋体" w:eastAsia="宋体" w:hAnsi="宋体" w:hint="eastAsia"/>
          <w:b/>
          <w:bCs/>
          <w:sz w:val="24"/>
          <w:szCs w:val="24"/>
        </w:rPr>
        <w:t>时代</w:t>
      </w:r>
      <w:r w:rsidRPr="00050A67">
        <w:rPr>
          <w:rFonts w:ascii="宋体" w:eastAsia="宋体" w:hAnsi="宋体" w:hint="eastAsia"/>
          <w:b/>
          <w:bCs/>
          <w:sz w:val="24"/>
          <w:szCs w:val="24"/>
        </w:rPr>
        <w:t>盒子重组</w:t>
      </w:r>
    </w:p>
    <w:p w14:paraId="4999AEB0" w14:textId="1EB9CC00" w:rsidR="00B93490" w:rsidRPr="00050A67" w:rsidRDefault="00B93490" w:rsidP="00050A67">
      <w:pPr>
        <w:spacing w:line="360" w:lineRule="auto"/>
        <w:ind w:firstLineChars="250" w:firstLine="600"/>
        <w:rPr>
          <w:rFonts w:ascii="宋体" w:eastAsia="宋体" w:hAnsi="宋体"/>
          <w:sz w:val="24"/>
          <w:szCs w:val="24"/>
        </w:rPr>
      </w:pPr>
      <w:r w:rsidRPr="00050A67">
        <w:rPr>
          <w:rFonts w:ascii="宋体" w:eastAsia="宋体" w:hAnsi="宋体" w:hint="eastAsia"/>
          <w:sz w:val="24"/>
          <w:szCs w:val="24"/>
        </w:rPr>
        <w:t>一类居住模块：适合单人居住或隔离，可以任意组装，位置和数量可以进行调整。二类居住模块：适合家庭居住或隔离，套间或者loft，既有私人空间又有家庭公共空间。三类居住模块：适合多人集体的居住或隔离，服务人数更多，服务半径更广的公共空间。</w:t>
      </w:r>
    </w:p>
    <w:p w14:paraId="50723100" w14:textId="77777777" w:rsidR="00B93490" w:rsidRPr="00050A67" w:rsidRDefault="00B93490" w:rsidP="00050A67">
      <w:pPr>
        <w:spacing w:line="360" w:lineRule="auto"/>
        <w:ind w:firstLineChars="250" w:firstLine="602"/>
        <w:jc w:val="center"/>
        <w:rPr>
          <w:rFonts w:ascii="宋体" w:eastAsia="宋体" w:hAnsi="宋体" w:hint="eastAsia"/>
          <w:b/>
          <w:bCs/>
          <w:sz w:val="24"/>
          <w:szCs w:val="24"/>
        </w:rPr>
      </w:pPr>
      <w:bookmarkStart w:id="0" w:name="_Toc262387010"/>
      <w:bookmarkStart w:id="1" w:name="_Toc303342549"/>
      <w:r w:rsidRPr="00050A67">
        <w:rPr>
          <w:rFonts w:ascii="宋体" w:eastAsia="宋体" w:hAnsi="宋体" w:hint="eastAsia"/>
          <w:b/>
          <w:bCs/>
          <w:sz w:val="24"/>
          <w:szCs w:val="24"/>
        </w:rPr>
        <w:t>第三章  消防设计</w:t>
      </w:r>
      <w:bookmarkEnd w:id="0"/>
      <w:bookmarkEnd w:id="1"/>
    </w:p>
    <w:p w14:paraId="47CEB30D" w14:textId="77777777" w:rsidR="00B93490" w:rsidRPr="00050A67" w:rsidRDefault="00B93490" w:rsidP="00050A67">
      <w:pPr>
        <w:spacing w:line="360" w:lineRule="auto"/>
        <w:rPr>
          <w:rFonts w:ascii="宋体" w:eastAsia="宋体" w:hAnsi="宋体" w:hint="eastAsia"/>
          <w:b/>
          <w:bCs/>
          <w:sz w:val="24"/>
          <w:szCs w:val="24"/>
        </w:rPr>
      </w:pPr>
      <w:bookmarkStart w:id="2" w:name="_Toc262387011"/>
      <w:bookmarkStart w:id="3" w:name="_Toc303342550"/>
      <w:r w:rsidRPr="00050A67">
        <w:rPr>
          <w:rFonts w:ascii="宋体" w:eastAsia="宋体" w:hAnsi="宋体" w:hint="eastAsia"/>
          <w:b/>
          <w:bCs/>
          <w:sz w:val="24"/>
          <w:szCs w:val="24"/>
        </w:rPr>
        <w:t>3.1 项目性质</w:t>
      </w:r>
      <w:bookmarkEnd w:id="2"/>
      <w:bookmarkEnd w:id="3"/>
    </w:p>
    <w:p w14:paraId="5FB7E2B2" w14:textId="1F7E4F3B" w:rsidR="00B93490" w:rsidRPr="00050A67" w:rsidRDefault="00B93490" w:rsidP="00050A67">
      <w:pPr>
        <w:spacing w:line="360" w:lineRule="auto"/>
        <w:rPr>
          <w:rFonts w:ascii="宋体" w:eastAsia="宋体" w:hAnsi="宋体" w:hint="eastAsia"/>
          <w:sz w:val="24"/>
          <w:szCs w:val="24"/>
        </w:rPr>
      </w:pPr>
      <w:r w:rsidRPr="00050A67">
        <w:rPr>
          <w:rFonts w:ascii="宋体" w:eastAsia="宋体" w:hAnsi="宋体" w:hint="eastAsia"/>
          <w:sz w:val="24"/>
          <w:szCs w:val="24"/>
        </w:rPr>
        <w:t>本工程</w:t>
      </w:r>
      <w:r w:rsidRPr="00050A67">
        <w:rPr>
          <w:rFonts w:ascii="宋体" w:eastAsia="宋体" w:hAnsi="宋体" w:hint="eastAsia"/>
          <w:sz w:val="24"/>
          <w:szCs w:val="24"/>
        </w:rPr>
        <w:t>为大学生活动中心设计</w:t>
      </w:r>
      <w:r w:rsidRPr="00050A67">
        <w:rPr>
          <w:rFonts w:ascii="宋体" w:eastAsia="宋体" w:hAnsi="宋体" w:hint="eastAsia"/>
          <w:sz w:val="24"/>
          <w:szCs w:val="24"/>
        </w:rPr>
        <w:t>。</w:t>
      </w:r>
    </w:p>
    <w:p w14:paraId="2C80B2DD" w14:textId="61533570" w:rsidR="00B93490" w:rsidRPr="00050A67" w:rsidRDefault="00050A67" w:rsidP="00050A67">
      <w:pPr>
        <w:spacing w:line="360" w:lineRule="auto"/>
        <w:ind w:firstLineChars="200" w:firstLine="480"/>
        <w:rPr>
          <w:rFonts w:ascii="宋体" w:eastAsia="宋体" w:hAnsi="宋体" w:hint="eastAsia"/>
          <w:sz w:val="24"/>
          <w:szCs w:val="24"/>
        </w:rPr>
      </w:pPr>
      <w:r w:rsidRPr="00050A67">
        <w:rPr>
          <w:rFonts w:ascii="宋体" w:eastAsia="宋体" w:hAnsi="宋体"/>
          <w:sz w:val="24"/>
          <w:szCs w:val="24"/>
        </w:rPr>
        <w:t>3.1.</w:t>
      </w:r>
      <w:r w:rsidR="00B93490" w:rsidRPr="00050A67">
        <w:rPr>
          <w:rFonts w:ascii="宋体" w:eastAsia="宋体" w:hAnsi="宋体" w:hint="eastAsia"/>
          <w:sz w:val="24"/>
          <w:szCs w:val="24"/>
        </w:rPr>
        <w:t>1.设计依据</w:t>
      </w:r>
    </w:p>
    <w:p w14:paraId="605A86D9"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（1）《民用建筑防排烟技术规程》GB 50098-98</w:t>
      </w:r>
    </w:p>
    <w:p w14:paraId="0BF42660"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（2）《建筑灭火器配置设计规范》GB50140-2006</w:t>
      </w:r>
    </w:p>
    <w:p w14:paraId="3070E7CC"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（3）《建筑设计防火规范》GB50016-2013</w:t>
      </w:r>
    </w:p>
    <w:p w14:paraId="76795C6A"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2.建筑物的分类与耐火等级</w:t>
      </w:r>
    </w:p>
    <w:p w14:paraId="28DB5083"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多层公共建筑，耐火等级为二级。</w:t>
      </w:r>
    </w:p>
    <w:p w14:paraId="00AC6AC4" w14:textId="3FCAF3AE" w:rsidR="00B93490" w:rsidRPr="00050A67" w:rsidRDefault="00B93490" w:rsidP="00050A67">
      <w:pPr>
        <w:spacing w:line="360" w:lineRule="auto"/>
        <w:ind w:firstLineChars="200" w:firstLine="480"/>
        <w:rPr>
          <w:rFonts w:ascii="宋体" w:eastAsia="宋体" w:hAnsi="宋体" w:hint="eastAsia"/>
          <w:sz w:val="24"/>
          <w:szCs w:val="24"/>
        </w:rPr>
      </w:pPr>
      <w:bookmarkStart w:id="4" w:name="_Toc262387012"/>
      <w:bookmarkStart w:id="5" w:name="_Toc303342551"/>
      <w:r w:rsidRPr="00050A67">
        <w:rPr>
          <w:rFonts w:ascii="宋体" w:eastAsia="宋体" w:hAnsi="宋体" w:hint="eastAsia"/>
          <w:sz w:val="24"/>
          <w:szCs w:val="24"/>
        </w:rPr>
        <w:t>3.</w:t>
      </w:r>
      <w:r w:rsidR="00050A67">
        <w:rPr>
          <w:rFonts w:ascii="宋体" w:eastAsia="宋体" w:hAnsi="宋体"/>
          <w:sz w:val="24"/>
          <w:szCs w:val="24"/>
        </w:rPr>
        <w:t>1.</w:t>
      </w:r>
      <w:r w:rsidRPr="00050A67">
        <w:rPr>
          <w:rFonts w:ascii="宋体" w:eastAsia="宋体" w:hAnsi="宋体" w:hint="eastAsia"/>
          <w:sz w:val="24"/>
          <w:szCs w:val="24"/>
        </w:rPr>
        <w:t>2 建筑</w:t>
      </w:r>
      <w:bookmarkEnd w:id="4"/>
      <w:r w:rsidRPr="00050A67">
        <w:rPr>
          <w:rFonts w:ascii="宋体" w:eastAsia="宋体" w:hAnsi="宋体" w:hint="eastAsia"/>
          <w:sz w:val="24"/>
          <w:szCs w:val="24"/>
        </w:rPr>
        <w:t>消防</w:t>
      </w:r>
      <w:bookmarkEnd w:id="5"/>
    </w:p>
    <w:p w14:paraId="71888504"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1.总平面设计：</w:t>
      </w:r>
    </w:p>
    <w:p w14:paraId="1D63E3EA"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多层建筑周围设消防车道。</w:t>
      </w:r>
    </w:p>
    <w:p w14:paraId="1C2B57F5"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各建筑单体的间距大于消防要求。</w:t>
      </w:r>
    </w:p>
    <w:p w14:paraId="45DA2493" w14:textId="30A12576" w:rsidR="00B93490" w:rsidRPr="00050A67" w:rsidRDefault="00050A67" w:rsidP="00050A67">
      <w:pPr>
        <w:spacing w:line="360" w:lineRule="auto"/>
        <w:rPr>
          <w:rFonts w:ascii="宋体" w:eastAsia="宋体" w:hAnsi="宋体" w:hint="eastAsia"/>
          <w:b/>
          <w:bCs/>
          <w:sz w:val="24"/>
          <w:szCs w:val="24"/>
        </w:rPr>
      </w:pPr>
      <w:r w:rsidRPr="00050A67">
        <w:rPr>
          <w:rFonts w:ascii="宋体" w:eastAsia="宋体" w:hAnsi="宋体"/>
          <w:b/>
          <w:bCs/>
          <w:sz w:val="24"/>
          <w:szCs w:val="24"/>
        </w:rPr>
        <w:t>3.</w:t>
      </w:r>
      <w:r w:rsidR="00B93490" w:rsidRPr="00050A67">
        <w:rPr>
          <w:rFonts w:ascii="宋体" w:eastAsia="宋体" w:hAnsi="宋体" w:hint="eastAsia"/>
          <w:b/>
          <w:bCs/>
          <w:sz w:val="24"/>
          <w:szCs w:val="24"/>
        </w:rPr>
        <w:t>2建筑设计</w:t>
      </w:r>
    </w:p>
    <w:p w14:paraId="5CB9FBAF" w14:textId="5F468C8C"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目标建筑</w:t>
      </w:r>
      <w:r w:rsidRPr="00050A67">
        <w:rPr>
          <w:rFonts w:ascii="宋体" w:eastAsia="宋体" w:hAnsi="宋体" w:hint="eastAsia"/>
          <w:sz w:val="24"/>
          <w:szCs w:val="24"/>
        </w:rPr>
        <w:t>大学生活动中心</w:t>
      </w:r>
      <w:r w:rsidRPr="00050A67">
        <w:rPr>
          <w:rFonts w:ascii="宋体" w:eastAsia="宋体" w:hAnsi="宋体" w:hint="eastAsia"/>
          <w:sz w:val="24"/>
          <w:szCs w:val="24"/>
        </w:rPr>
        <w:t>建筑，层数为6层的公共建筑。采用模块化的盒子</w:t>
      </w:r>
      <w:r w:rsidRPr="00050A67">
        <w:rPr>
          <w:rFonts w:ascii="宋体" w:eastAsia="宋体" w:hAnsi="宋体" w:hint="eastAsia"/>
          <w:sz w:val="24"/>
          <w:szCs w:val="24"/>
        </w:rPr>
        <w:t>将</w:t>
      </w:r>
      <w:r w:rsidRPr="00050A67">
        <w:rPr>
          <w:rFonts w:ascii="宋体" w:eastAsia="宋体" w:hAnsi="宋体" w:hint="eastAsia"/>
          <w:sz w:val="24"/>
          <w:szCs w:val="24"/>
        </w:rPr>
        <w:t>建筑联系起来。这种方式使建筑的附属交通功能立体化，有序的引导了人流。并且使建筑的</w:t>
      </w:r>
      <w:r w:rsidRPr="00050A67">
        <w:rPr>
          <w:rFonts w:ascii="宋体" w:eastAsia="宋体" w:hAnsi="宋体" w:hint="eastAsia"/>
          <w:sz w:val="24"/>
          <w:szCs w:val="24"/>
        </w:rPr>
        <w:t>不同</w:t>
      </w:r>
      <w:r w:rsidRPr="00050A67">
        <w:rPr>
          <w:rFonts w:ascii="宋体" w:eastAsia="宋体" w:hAnsi="宋体" w:hint="eastAsia"/>
          <w:sz w:val="24"/>
          <w:szCs w:val="24"/>
        </w:rPr>
        <w:t>空间充满层次分明的感觉，功能分区明确且得到了充足的日照。立面上设置适当的遮阳措施，</w:t>
      </w:r>
      <w:r w:rsidRPr="00050A67">
        <w:rPr>
          <w:rFonts w:ascii="宋体" w:eastAsia="宋体" w:hAnsi="宋体" w:hint="eastAsia"/>
          <w:sz w:val="24"/>
          <w:szCs w:val="24"/>
        </w:rPr>
        <w:t>采用多种绿建技术</w:t>
      </w:r>
      <w:r w:rsidRPr="00050A67">
        <w:rPr>
          <w:rFonts w:ascii="宋体" w:eastAsia="宋体" w:hAnsi="宋体" w:hint="eastAsia"/>
          <w:sz w:val="24"/>
          <w:szCs w:val="24"/>
        </w:rPr>
        <w:t>调节建筑内环境，创造不同的公共空间，使</w:t>
      </w:r>
      <w:r w:rsidRPr="00050A67">
        <w:rPr>
          <w:rFonts w:ascii="宋体" w:eastAsia="宋体" w:hAnsi="宋体" w:hint="eastAsia"/>
          <w:sz w:val="24"/>
          <w:szCs w:val="24"/>
        </w:rPr>
        <w:t>活动</w:t>
      </w:r>
      <w:r w:rsidRPr="00050A67">
        <w:rPr>
          <w:rFonts w:ascii="宋体" w:eastAsia="宋体" w:hAnsi="宋体" w:hint="eastAsia"/>
          <w:sz w:val="24"/>
          <w:szCs w:val="24"/>
        </w:rPr>
        <w:t>空间进一步改善。</w:t>
      </w:r>
    </w:p>
    <w:p w14:paraId="65F95212" w14:textId="1B236376" w:rsidR="00B93490" w:rsidRPr="00050A67" w:rsidRDefault="00B93490" w:rsidP="00050A67">
      <w:pPr>
        <w:spacing w:line="360" w:lineRule="auto"/>
        <w:rPr>
          <w:rFonts w:ascii="宋体" w:eastAsia="宋体" w:hAnsi="宋体" w:hint="eastAsia"/>
          <w:b/>
          <w:bCs/>
          <w:sz w:val="24"/>
          <w:szCs w:val="24"/>
        </w:rPr>
      </w:pPr>
      <w:r w:rsidRPr="00050A67">
        <w:rPr>
          <w:rFonts w:ascii="宋体" w:eastAsia="宋体" w:hAnsi="宋体" w:hint="eastAsia"/>
          <w:b/>
          <w:bCs/>
          <w:sz w:val="24"/>
          <w:szCs w:val="24"/>
        </w:rPr>
        <w:lastRenderedPageBreak/>
        <w:t>3.</w:t>
      </w:r>
      <w:r w:rsidR="00050A67" w:rsidRPr="00050A67">
        <w:rPr>
          <w:rFonts w:ascii="宋体" w:eastAsia="宋体" w:hAnsi="宋体"/>
          <w:b/>
          <w:bCs/>
          <w:sz w:val="24"/>
          <w:szCs w:val="24"/>
        </w:rPr>
        <w:t>3</w:t>
      </w:r>
      <w:r w:rsidRPr="00050A67">
        <w:rPr>
          <w:rFonts w:ascii="宋体" w:eastAsia="宋体" w:hAnsi="宋体" w:hint="eastAsia"/>
          <w:b/>
          <w:bCs/>
          <w:sz w:val="24"/>
          <w:szCs w:val="24"/>
        </w:rPr>
        <w:t>安全疏散</w:t>
      </w:r>
    </w:p>
    <w:p w14:paraId="28CE7327" w14:textId="4F7A8D0C" w:rsidR="00B93490" w:rsidRPr="00050A67" w:rsidRDefault="00B93490" w:rsidP="00050A67">
      <w:pPr>
        <w:spacing w:line="360" w:lineRule="auto"/>
        <w:ind w:firstLineChars="250" w:firstLine="600"/>
        <w:rPr>
          <w:rFonts w:ascii="宋体" w:eastAsia="宋体" w:hAnsi="宋体" w:hint="eastAsia"/>
          <w:sz w:val="24"/>
          <w:szCs w:val="24"/>
        </w:rPr>
      </w:pPr>
      <w:bookmarkStart w:id="6" w:name="_Toc303342558"/>
      <w:r w:rsidRPr="00050A67">
        <w:rPr>
          <w:rFonts w:ascii="宋体" w:eastAsia="宋体" w:hAnsi="宋体" w:hint="eastAsia"/>
          <w:sz w:val="24"/>
          <w:szCs w:val="24"/>
        </w:rPr>
        <w:t>大学生活动中心设两个疏散</w:t>
      </w:r>
      <w:r w:rsidRPr="00050A67">
        <w:rPr>
          <w:rFonts w:ascii="宋体" w:eastAsia="宋体" w:hAnsi="宋体" w:hint="eastAsia"/>
          <w:sz w:val="24"/>
          <w:szCs w:val="24"/>
        </w:rPr>
        <w:t>楼梯，结合单廊式开敞阳台及</w:t>
      </w:r>
      <w:r w:rsidRPr="00050A67">
        <w:rPr>
          <w:rFonts w:ascii="宋体" w:eastAsia="宋体" w:hAnsi="宋体" w:hint="eastAsia"/>
          <w:sz w:val="24"/>
          <w:szCs w:val="24"/>
        </w:rPr>
        <w:t>直跑楼梯</w:t>
      </w:r>
      <w:r w:rsidRPr="00050A67">
        <w:rPr>
          <w:rFonts w:ascii="宋体" w:eastAsia="宋体" w:hAnsi="宋体" w:hint="eastAsia"/>
          <w:sz w:val="24"/>
          <w:szCs w:val="24"/>
        </w:rPr>
        <w:t>，现有的楼梯已能满足安全疏散要求。</w:t>
      </w:r>
    </w:p>
    <w:p w14:paraId="13246741" w14:textId="77777777" w:rsidR="00B93490" w:rsidRPr="00050A67" w:rsidRDefault="00B93490" w:rsidP="00050A67">
      <w:pPr>
        <w:spacing w:line="360" w:lineRule="auto"/>
        <w:ind w:firstLineChars="250" w:firstLine="600"/>
        <w:rPr>
          <w:rFonts w:ascii="宋体" w:eastAsia="宋体" w:hAnsi="宋体" w:hint="eastAsia"/>
          <w:b/>
          <w:bCs/>
          <w:sz w:val="24"/>
          <w:szCs w:val="24"/>
        </w:rPr>
      </w:pPr>
      <w:bookmarkStart w:id="7" w:name="_Toc262387019"/>
      <w:bookmarkStart w:id="8" w:name="_Toc303342559"/>
      <w:bookmarkEnd w:id="6"/>
      <w:r w:rsidRPr="00050A67">
        <w:rPr>
          <w:rFonts w:ascii="宋体" w:eastAsia="宋体" w:hAnsi="宋体" w:hint="eastAsia"/>
          <w:sz w:val="24"/>
          <w:szCs w:val="24"/>
        </w:rPr>
        <w:t xml:space="preserve">                        </w:t>
      </w:r>
      <w:r w:rsidRPr="00050A67">
        <w:rPr>
          <w:rFonts w:ascii="宋体" w:eastAsia="宋体" w:hAnsi="宋体" w:hint="eastAsia"/>
          <w:b/>
          <w:bCs/>
          <w:sz w:val="24"/>
          <w:szCs w:val="24"/>
        </w:rPr>
        <w:t xml:space="preserve"> 第四章  节能设计</w:t>
      </w:r>
    </w:p>
    <w:p w14:paraId="7699D20C" w14:textId="77777777" w:rsidR="00B93490" w:rsidRPr="00050A67" w:rsidRDefault="00B93490" w:rsidP="00050A67">
      <w:pPr>
        <w:spacing w:line="360" w:lineRule="auto"/>
        <w:rPr>
          <w:rFonts w:ascii="宋体" w:eastAsia="宋体" w:hAnsi="宋体" w:hint="eastAsia"/>
          <w:b/>
          <w:bCs/>
          <w:sz w:val="24"/>
          <w:szCs w:val="24"/>
        </w:rPr>
      </w:pPr>
      <w:r w:rsidRPr="00050A67">
        <w:rPr>
          <w:rFonts w:ascii="宋体" w:eastAsia="宋体" w:hAnsi="宋体" w:hint="eastAsia"/>
          <w:b/>
          <w:bCs/>
          <w:sz w:val="24"/>
          <w:szCs w:val="24"/>
        </w:rPr>
        <w:t>4.1 建筑节能</w:t>
      </w:r>
      <w:bookmarkEnd w:id="7"/>
      <w:bookmarkEnd w:id="8"/>
    </w:p>
    <w:p w14:paraId="061C015C" w14:textId="30EB169D" w:rsidR="00B93490" w:rsidRPr="00050A67" w:rsidRDefault="00050A67" w:rsidP="00050A67">
      <w:pPr>
        <w:spacing w:line="360" w:lineRule="auto"/>
        <w:ind w:firstLineChars="250" w:firstLine="600"/>
        <w:rPr>
          <w:rFonts w:ascii="宋体" w:eastAsia="宋体" w:hAnsi="宋体" w:hint="eastAsia"/>
          <w:sz w:val="24"/>
          <w:szCs w:val="24"/>
        </w:rPr>
      </w:pPr>
      <w:r>
        <w:rPr>
          <w:rFonts w:ascii="宋体" w:eastAsia="宋体" w:hAnsi="宋体"/>
          <w:sz w:val="24"/>
          <w:szCs w:val="24"/>
        </w:rPr>
        <w:t>4.1.1</w:t>
      </w:r>
      <w:r w:rsidR="00B93490" w:rsidRPr="00050A67">
        <w:rPr>
          <w:rFonts w:ascii="宋体" w:eastAsia="宋体" w:hAnsi="宋体" w:hint="eastAsia"/>
          <w:sz w:val="24"/>
          <w:szCs w:val="24"/>
        </w:rPr>
        <w:t>外墙</w:t>
      </w:r>
    </w:p>
    <w:p w14:paraId="7B6CE895" w14:textId="2D095E14"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本</w:t>
      </w:r>
      <w:r w:rsidRPr="00050A67">
        <w:rPr>
          <w:rFonts w:ascii="宋体" w:eastAsia="宋体" w:hAnsi="宋体" w:hint="eastAsia"/>
          <w:sz w:val="24"/>
          <w:szCs w:val="24"/>
        </w:rPr>
        <w:t>设计对象大学生活动中心</w:t>
      </w:r>
      <w:r w:rsidRPr="00050A67">
        <w:rPr>
          <w:rFonts w:ascii="宋体" w:eastAsia="宋体" w:hAnsi="宋体" w:hint="eastAsia"/>
          <w:sz w:val="24"/>
          <w:szCs w:val="24"/>
        </w:rPr>
        <w:t>为</w:t>
      </w:r>
      <w:r w:rsidRPr="00050A67">
        <w:rPr>
          <w:rFonts w:ascii="宋体" w:eastAsia="宋体" w:hAnsi="宋体" w:hint="eastAsia"/>
          <w:sz w:val="24"/>
          <w:szCs w:val="24"/>
        </w:rPr>
        <w:t>竹钢</w:t>
      </w:r>
      <w:r w:rsidRPr="00050A67">
        <w:rPr>
          <w:rFonts w:ascii="宋体" w:eastAsia="宋体" w:hAnsi="宋体" w:hint="eastAsia"/>
          <w:sz w:val="24"/>
          <w:szCs w:val="24"/>
        </w:rPr>
        <w:t>结构体系，</w:t>
      </w:r>
      <w:r w:rsidR="003B4357" w:rsidRPr="00050A67">
        <w:rPr>
          <w:rFonts w:ascii="宋体" w:eastAsia="宋体" w:hAnsi="宋体" w:hint="eastAsia"/>
          <w:sz w:val="24"/>
          <w:szCs w:val="24"/>
        </w:rPr>
        <w:t>墙体构造为</w:t>
      </w:r>
      <w:r w:rsidRPr="00050A67">
        <w:rPr>
          <w:rFonts w:ascii="宋体" w:eastAsia="宋体" w:hAnsi="宋体" w:hint="eastAsia"/>
          <w:sz w:val="24"/>
          <w:szCs w:val="24"/>
        </w:rPr>
        <w:t>热阻性能较好的</w:t>
      </w:r>
      <w:r w:rsidR="003B4357" w:rsidRPr="00050A67">
        <w:rPr>
          <w:rFonts w:ascii="宋体" w:eastAsia="宋体" w:hAnsi="宋体" w:hint="eastAsia"/>
          <w:sz w:val="24"/>
          <w:szCs w:val="24"/>
        </w:rPr>
        <w:t>竹钢板材、吸声海绵、防水透气膜、木龙骨、保温材料</w:t>
      </w:r>
      <w:r w:rsidRPr="00050A67">
        <w:rPr>
          <w:rFonts w:ascii="宋体" w:eastAsia="宋体" w:hAnsi="宋体" w:hint="eastAsia"/>
          <w:sz w:val="24"/>
          <w:szCs w:val="24"/>
        </w:rPr>
        <w:t>。玻璃采用三玻两腔L</w:t>
      </w:r>
      <w:r w:rsidRPr="00050A67">
        <w:rPr>
          <w:rFonts w:ascii="宋体" w:eastAsia="宋体" w:hAnsi="宋体"/>
          <w:sz w:val="24"/>
          <w:szCs w:val="24"/>
        </w:rPr>
        <w:t>OW-E</w:t>
      </w:r>
      <w:r w:rsidRPr="00050A67">
        <w:rPr>
          <w:rFonts w:ascii="宋体" w:eastAsia="宋体" w:hAnsi="宋体" w:hint="eastAsia"/>
          <w:sz w:val="24"/>
          <w:szCs w:val="24"/>
        </w:rPr>
        <w:t>玻璃。</w:t>
      </w:r>
    </w:p>
    <w:p w14:paraId="1C2384E2"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根据热工计算，上述保温方法均能满足夏热冬冷地区《公共建筑节能设计标准》（GBJ50189-2005）规定的保温要求。</w:t>
      </w:r>
    </w:p>
    <w:p w14:paraId="19AD832F" w14:textId="4EE729A1" w:rsidR="00B93490" w:rsidRPr="00050A67" w:rsidRDefault="00050A67" w:rsidP="00050A67">
      <w:pPr>
        <w:spacing w:line="360" w:lineRule="auto"/>
        <w:ind w:firstLineChars="250" w:firstLine="600"/>
        <w:rPr>
          <w:rFonts w:ascii="宋体" w:eastAsia="宋体" w:hAnsi="宋体" w:hint="eastAsia"/>
          <w:sz w:val="24"/>
          <w:szCs w:val="24"/>
        </w:rPr>
      </w:pPr>
      <w:r>
        <w:rPr>
          <w:rFonts w:ascii="宋体" w:eastAsia="宋体" w:hAnsi="宋体"/>
          <w:sz w:val="24"/>
          <w:szCs w:val="24"/>
        </w:rPr>
        <w:t>4.1.2</w:t>
      </w:r>
      <w:r w:rsidR="003B4357" w:rsidRPr="00050A67">
        <w:rPr>
          <w:rFonts w:ascii="宋体" w:eastAsia="宋体" w:hAnsi="宋体" w:hint="eastAsia"/>
          <w:sz w:val="24"/>
          <w:szCs w:val="24"/>
        </w:rPr>
        <w:t>楼板层</w:t>
      </w:r>
    </w:p>
    <w:p w14:paraId="308E5494" w14:textId="3351937B"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采用</w:t>
      </w:r>
      <w:r w:rsidR="003B4357" w:rsidRPr="00050A67">
        <w:rPr>
          <w:rFonts w:ascii="宋体" w:eastAsia="宋体" w:hAnsi="宋体" w:hint="eastAsia"/>
          <w:sz w:val="24"/>
          <w:szCs w:val="24"/>
        </w:rPr>
        <w:t>双层木地板、吸声材料、弹性隔震垫、木龙骨、吊顶构造而成</w:t>
      </w:r>
      <w:r w:rsidRPr="00050A67">
        <w:rPr>
          <w:rFonts w:ascii="宋体" w:eastAsia="宋体" w:hAnsi="宋体" w:hint="eastAsia"/>
          <w:sz w:val="24"/>
          <w:szCs w:val="24"/>
        </w:rPr>
        <w:t>，能满足夏热冬冷地区《公共建筑节能设计标准》（GBJ50189-2005）保温要求。</w:t>
      </w:r>
    </w:p>
    <w:p w14:paraId="7021FCB7" w14:textId="77777777" w:rsidR="00B93490" w:rsidRPr="00050A67" w:rsidRDefault="00B93490" w:rsidP="00050A67">
      <w:pPr>
        <w:spacing w:line="360" w:lineRule="auto"/>
        <w:rPr>
          <w:rFonts w:ascii="宋体" w:eastAsia="宋体" w:hAnsi="宋体" w:hint="eastAsia"/>
          <w:b/>
          <w:bCs/>
          <w:sz w:val="24"/>
          <w:szCs w:val="24"/>
        </w:rPr>
      </w:pPr>
      <w:bookmarkStart w:id="9" w:name="_Toc303342560"/>
      <w:r w:rsidRPr="00050A67">
        <w:rPr>
          <w:rFonts w:ascii="宋体" w:eastAsia="宋体" w:hAnsi="宋体" w:hint="eastAsia"/>
          <w:b/>
          <w:bCs/>
          <w:sz w:val="24"/>
          <w:szCs w:val="24"/>
        </w:rPr>
        <w:t>4.2 给排水节能设计</w:t>
      </w:r>
      <w:bookmarkEnd w:id="9"/>
    </w:p>
    <w:p w14:paraId="62E8F203" w14:textId="1C4AFC0F" w:rsidR="00B93490" w:rsidRPr="00050A67" w:rsidRDefault="00050A67" w:rsidP="00050A67">
      <w:pPr>
        <w:spacing w:line="360" w:lineRule="auto"/>
        <w:ind w:firstLineChars="250" w:firstLine="600"/>
        <w:rPr>
          <w:rFonts w:ascii="宋体" w:eastAsia="宋体" w:hAnsi="宋体" w:hint="eastAsia"/>
          <w:sz w:val="24"/>
          <w:szCs w:val="24"/>
        </w:rPr>
      </w:pPr>
      <w:r>
        <w:rPr>
          <w:rFonts w:ascii="宋体" w:eastAsia="宋体" w:hAnsi="宋体"/>
          <w:sz w:val="24"/>
          <w:szCs w:val="24"/>
        </w:rPr>
        <w:t>4.2.</w:t>
      </w:r>
      <w:r w:rsidR="00B93490" w:rsidRPr="00050A67">
        <w:rPr>
          <w:rFonts w:ascii="宋体" w:eastAsia="宋体" w:hAnsi="宋体" w:hint="eastAsia"/>
          <w:sz w:val="24"/>
          <w:szCs w:val="24"/>
        </w:rPr>
        <w:t>1采用节水型水龙头，以达到节能的目的。</w:t>
      </w:r>
    </w:p>
    <w:p w14:paraId="1D994EE9" w14:textId="3C55024C" w:rsidR="00B93490" w:rsidRPr="00050A67" w:rsidRDefault="00050A67" w:rsidP="00050A67">
      <w:pPr>
        <w:spacing w:line="360" w:lineRule="auto"/>
        <w:ind w:firstLineChars="250" w:firstLine="600"/>
        <w:rPr>
          <w:rFonts w:ascii="宋体" w:eastAsia="宋体" w:hAnsi="宋体" w:hint="eastAsia"/>
          <w:sz w:val="24"/>
          <w:szCs w:val="24"/>
        </w:rPr>
      </w:pPr>
      <w:r>
        <w:rPr>
          <w:rFonts w:ascii="宋体" w:eastAsia="宋体" w:hAnsi="宋体"/>
          <w:sz w:val="24"/>
          <w:szCs w:val="24"/>
        </w:rPr>
        <w:t>4.2.</w:t>
      </w:r>
      <w:r>
        <w:rPr>
          <w:rFonts w:ascii="宋体" w:eastAsia="宋体" w:hAnsi="宋体"/>
          <w:sz w:val="24"/>
          <w:szCs w:val="24"/>
        </w:rPr>
        <w:t>2</w:t>
      </w:r>
      <w:r w:rsidR="00B93490" w:rsidRPr="00050A67">
        <w:rPr>
          <w:rFonts w:ascii="宋体" w:eastAsia="宋体" w:hAnsi="宋体" w:hint="eastAsia"/>
          <w:sz w:val="24"/>
          <w:szCs w:val="24"/>
        </w:rPr>
        <w:t>蹲便器采用延时自闭式冲洗阀进行控制，避免长流水现象，以达到节能的目的。</w:t>
      </w:r>
    </w:p>
    <w:p w14:paraId="1D74F0C0" w14:textId="43EBCBB9" w:rsidR="00B93490" w:rsidRPr="00050A67" w:rsidRDefault="00050A67" w:rsidP="00050A67">
      <w:pPr>
        <w:spacing w:line="360" w:lineRule="auto"/>
        <w:ind w:firstLineChars="250" w:firstLine="600"/>
        <w:rPr>
          <w:rFonts w:ascii="宋体" w:eastAsia="宋体" w:hAnsi="宋体" w:hint="eastAsia"/>
          <w:sz w:val="24"/>
          <w:szCs w:val="24"/>
        </w:rPr>
      </w:pPr>
      <w:r>
        <w:rPr>
          <w:rFonts w:ascii="宋体" w:eastAsia="宋体" w:hAnsi="宋体"/>
          <w:sz w:val="24"/>
          <w:szCs w:val="24"/>
        </w:rPr>
        <w:t>4.2.</w:t>
      </w:r>
      <w:r>
        <w:rPr>
          <w:rFonts w:ascii="宋体" w:eastAsia="宋体" w:hAnsi="宋体"/>
          <w:sz w:val="24"/>
          <w:szCs w:val="24"/>
        </w:rPr>
        <w:t>3</w:t>
      </w:r>
      <w:r w:rsidR="00B93490" w:rsidRPr="00050A67">
        <w:rPr>
          <w:rFonts w:ascii="宋体" w:eastAsia="宋体" w:hAnsi="宋体" w:hint="eastAsia"/>
          <w:sz w:val="24"/>
          <w:szCs w:val="24"/>
        </w:rPr>
        <w:t>使用光电控制式小便器，避免长流水现象，以达到节能的目的。 </w:t>
      </w:r>
    </w:p>
    <w:p w14:paraId="2A44C0C1" w14:textId="7E12259C" w:rsidR="00B93490" w:rsidRPr="00050A67" w:rsidRDefault="00050A67" w:rsidP="00050A67">
      <w:pPr>
        <w:spacing w:line="360" w:lineRule="auto"/>
        <w:ind w:firstLineChars="250" w:firstLine="600"/>
        <w:rPr>
          <w:rFonts w:ascii="宋体" w:eastAsia="宋体" w:hAnsi="宋体" w:hint="eastAsia"/>
          <w:sz w:val="24"/>
          <w:szCs w:val="24"/>
        </w:rPr>
      </w:pPr>
      <w:r>
        <w:rPr>
          <w:rFonts w:ascii="宋体" w:eastAsia="宋体" w:hAnsi="宋体"/>
          <w:sz w:val="24"/>
          <w:szCs w:val="24"/>
        </w:rPr>
        <w:t>4.2.</w:t>
      </w:r>
      <w:r>
        <w:rPr>
          <w:rFonts w:ascii="宋体" w:eastAsia="宋体" w:hAnsi="宋体"/>
          <w:sz w:val="24"/>
          <w:szCs w:val="24"/>
        </w:rPr>
        <w:t>4</w:t>
      </w:r>
      <w:r w:rsidR="00B93490" w:rsidRPr="00050A67">
        <w:rPr>
          <w:rFonts w:ascii="宋体" w:eastAsia="宋体" w:hAnsi="宋体" w:hint="eastAsia"/>
          <w:sz w:val="24"/>
          <w:szCs w:val="24"/>
        </w:rPr>
        <w:t>采用优质管材及附件，严格防止由于管材、附件的质量问题而产生的跑、冒、滴、漏 现象的发生。</w:t>
      </w:r>
    </w:p>
    <w:p w14:paraId="2AA37F23" w14:textId="77777777" w:rsidR="00B93490" w:rsidRPr="00050A67" w:rsidRDefault="00B93490" w:rsidP="00050A67">
      <w:pPr>
        <w:spacing w:line="360" w:lineRule="auto"/>
        <w:rPr>
          <w:rFonts w:ascii="宋体" w:eastAsia="宋体" w:hAnsi="宋体" w:hint="eastAsia"/>
          <w:b/>
          <w:bCs/>
          <w:sz w:val="24"/>
          <w:szCs w:val="24"/>
        </w:rPr>
      </w:pPr>
      <w:bookmarkStart w:id="10" w:name="_Toc303342561"/>
      <w:r w:rsidRPr="00050A67">
        <w:rPr>
          <w:rFonts w:ascii="宋体" w:eastAsia="宋体" w:hAnsi="宋体" w:hint="eastAsia"/>
          <w:b/>
          <w:bCs/>
          <w:sz w:val="24"/>
          <w:szCs w:val="24"/>
        </w:rPr>
        <w:t>4.3 电气节能</w:t>
      </w:r>
      <w:bookmarkEnd w:id="10"/>
    </w:p>
    <w:p w14:paraId="5D511F14" w14:textId="561975DF" w:rsidR="00B93490" w:rsidRPr="00050A67" w:rsidRDefault="00050A67" w:rsidP="00050A67">
      <w:pPr>
        <w:spacing w:line="360" w:lineRule="auto"/>
        <w:ind w:firstLineChars="250" w:firstLine="600"/>
        <w:rPr>
          <w:rFonts w:ascii="宋体" w:eastAsia="宋体" w:hAnsi="宋体" w:hint="eastAsia"/>
          <w:sz w:val="24"/>
          <w:szCs w:val="24"/>
        </w:rPr>
      </w:pPr>
      <w:r>
        <w:rPr>
          <w:rFonts w:ascii="宋体" w:eastAsia="宋体" w:hAnsi="宋体"/>
          <w:sz w:val="24"/>
          <w:szCs w:val="24"/>
        </w:rPr>
        <w:t>4.3.1</w:t>
      </w:r>
      <w:r w:rsidR="00B93490" w:rsidRPr="00050A67">
        <w:rPr>
          <w:rFonts w:ascii="宋体" w:eastAsia="宋体" w:hAnsi="宋体" w:hint="eastAsia"/>
          <w:sz w:val="24"/>
          <w:szCs w:val="24"/>
        </w:rPr>
        <w:t>变压器采用节能型低损耗变压器，采用低压无功补偿，功率因素达到0.90以上。</w:t>
      </w:r>
    </w:p>
    <w:p w14:paraId="0C223968" w14:textId="4CDC51ED" w:rsidR="00B93490" w:rsidRPr="00050A67" w:rsidRDefault="00050A67" w:rsidP="00050A67">
      <w:pPr>
        <w:spacing w:line="360" w:lineRule="auto"/>
        <w:ind w:firstLineChars="250" w:firstLine="600"/>
        <w:rPr>
          <w:rFonts w:ascii="宋体" w:eastAsia="宋体" w:hAnsi="宋体" w:hint="eastAsia"/>
          <w:sz w:val="24"/>
          <w:szCs w:val="24"/>
        </w:rPr>
      </w:pPr>
      <w:r>
        <w:rPr>
          <w:rFonts w:ascii="宋体" w:eastAsia="宋体" w:hAnsi="宋体"/>
          <w:sz w:val="24"/>
          <w:szCs w:val="24"/>
        </w:rPr>
        <w:t>4.3.</w:t>
      </w:r>
      <w:r>
        <w:rPr>
          <w:rFonts w:ascii="宋体" w:eastAsia="宋体" w:hAnsi="宋体"/>
          <w:sz w:val="24"/>
          <w:szCs w:val="24"/>
        </w:rPr>
        <w:t>2</w:t>
      </w:r>
      <w:r w:rsidR="00B93490" w:rsidRPr="00050A67">
        <w:rPr>
          <w:rFonts w:ascii="宋体" w:eastAsia="宋体" w:hAnsi="宋体" w:hint="eastAsia"/>
          <w:sz w:val="24"/>
          <w:szCs w:val="24"/>
        </w:rPr>
        <w:t>采用节能型荧光灯和其他高光效灯具，节能的电子镇流器。在荧光灯具上安装补偿电容。</w:t>
      </w:r>
    </w:p>
    <w:p w14:paraId="1800F6EB" w14:textId="599322DC" w:rsidR="00B93490" w:rsidRPr="00050A67" w:rsidRDefault="00050A67" w:rsidP="00050A67">
      <w:pPr>
        <w:spacing w:line="360" w:lineRule="auto"/>
        <w:ind w:firstLineChars="250" w:firstLine="600"/>
        <w:rPr>
          <w:rFonts w:ascii="宋体" w:eastAsia="宋体" w:hAnsi="宋体" w:hint="eastAsia"/>
          <w:sz w:val="24"/>
          <w:szCs w:val="24"/>
        </w:rPr>
      </w:pPr>
      <w:r>
        <w:rPr>
          <w:rFonts w:ascii="宋体" w:eastAsia="宋体" w:hAnsi="宋体"/>
          <w:sz w:val="24"/>
          <w:szCs w:val="24"/>
        </w:rPr>
        <w:t>4.3.</w:t>
      </w:r>
      <w:r>
        <w:rPr>
          <w:rFonts w:ascii="宋体" w:eastAsia="宋体" w:hAnsi="宋体"/>
          <w:sz w:val="24"/>
          <w:szCs w:val="24"/>
        </w:rPr>
        <w:t>3</w:t>
      </w:r>
      <w:r w:rsidR="00B93490" w:rsidRPr="00050A67">
        <w:rPr>
          <w:rFonts w:ascii="宋体" w:eastAsia="宋体" w:hAnsi="宋体" w:hint="eastAsia"/>
          <w:sz w:val="24"/>
          <w:szCs w:val="24"/>
        </w:rPr>
        <w:t>在低压侧装设无功功率自动补偿装置，以降低线路损耗和变压器损耗。</w:t>
      </w:r>
    </w:p>
    <w:p w14:paraId="780D4852" w14:textId="26502E1F" w:rsidR="00B93490" w:rsidRPr="00050A67" w:rsidRDefault="00B93490" w:rsidP="00050A67">
      <w:pPr>
        <w:spacing w:line="360" w:lineRule="auto"/>
        <w:ind w:firstLineChars="250" w:firstLine="602"/>
        <w:jc w:val="center"/>
        <w:rPr>
          <w:rFonts w:ascii="宋体" w:eastAsia="宋体" w:hAnsi="宋体" w:hint="eastAsia"/>
          <w:b/>
          <w:bCs/>
          <w:sz w:val="24"/>
          <w:szCs w:val="24"/>
        </w:rPr>
      </w:pPr>
      <w:r w:rsidRPr="00050A67">
        <w:rPr>
          <w:rFonts w:ascii="宋体" w:eastAsia="宋体" w:hAnsi="宋体" w:hint="eastAsia"/>
          <w:b/>
          <w:bCs/>
          <w:sz w:val="24"/>
          <w:szCs w:val="24"/>
        </w:rPr>
        <w:t>第五章  环境保护</w:t>
      </w:r>
    </w:p>
    <w:p w14:paraId="309C5F69" w14:textId="77777777" w:rsidR="00B93490" w:rsidRPr="00050A67" w:rsidRDefault="00B93490" w:rsidP="00050A67">
      <w:pPr>
        <w:spacing w:line="360" w:lineRule="auto"/>
        <w:rPr>
          <w:rFonts w:ascii="宋体" w:eastAsia="宋体" w:hAnsi="宋体" w:hint="eastAsia"/>
          <w:b/>
          <w:bCs/>
          <w:sz w:val="24"/>
          <w:szCs w:val="24"/>
        </w:rPr>
      </w:pPr>
      <w:bookmarkStart w:id="11" w:name="_Toc262387017"/>
      <w:bookmarkStart w:id="12" w:name="_Toc303342557"/>
      <w:r w:rsidRPr="00050A67">
        <w:rPr>
          <w:rFonts w:ascii="宋体" w:eastAsia="宋体" w:hAnsi="宋体" w:hint="eastAsia"/>
          <w:b/>
          <w:bCs/>
          <w:sz w:val="24"/>
          <w:szCs w:val="24"/>
        </w:rPr>
        <w:lastRenderedPageBreak/>
        <w:t>5.1 环境保护</w:t>
      </w:r>
      <w:bookmarkEnd w:id="11"/>
      <w:bookmarkEnd w:id="12"/>
    </w:p>
    <w:p w14:paraId="7A050F17"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5.1.1建筑材料及施工</w:t>
      </w:r>
    </w:p>
    <w:p w14:paraId="2F20DE4B"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1）改造的构件及内、外装修材料均采用环保绿色材料，无有毒气体，粉尘或射线产生。</w:t>
      </w:r>
    </w:p>
    <w:p w14:paraId="1AFC9D51"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2）施工机械设备均采用低噪音型，避免选用锤击式等施工噪间较大的桩型。</w:t>
      </w:r>
    </w:p>
    <w:p w14:paraId="682BFD7F"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3）施工中加设外防护网，减少粉尘产生；施工运输过程中车辆加防护网，避免沿路洒落；干燥气候下现场洒水，减少扬尘。</w:t>
      </w:r>
    </w:p>
    <w:p w14:paraId="7AA8DF81"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4）施工中不可避免会对现有植被产生破坏，竣工后均按绿化设计要求统一恢复。</w:t>
      </w:r>
    </w:p>
    <w:p w14:paraId="3B93470F"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5.1.2建筑使用过程中垃圾、污水处理。</w:t>
      </w:r>
    </w:p>
    <w:p w14:paraId="1C19D335"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1）学习及办公垃圾均袋装，集中外运。</w:t>
      </w:r>
    </w:p>
    <w:p w14:paraId="25C85A0B"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2）实行雨水、污水分流制排放，生活污水经室外化粪池处理后排至市政污水管网。</w:t>
      </w:r>
    </w:p>
    <w:p w14:paraId="12331DE8"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5.1.3设备选择</w:t>
      </w:r>
    </w:p>
    <w:p w14:paraId="4E0F12D0"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1）所有用水器具均采用节水型产品。其中小便斗采用自闭式冲洗阀，所有洗脸盆龙头及其它龙头采用陶瓷阀芯产品。</w:t>
      </w:r>
    </w:p>
    <w:p w14:paraId="4A8CBB02" w14:textId="0E3D8550" w:rsidR="00B93490" w:rsidRPr="00050A67" w:rsidRDefault="00B93490" w:rsidP="00050A67">
      <w:pPr>
        <w:spacing w:line="360" w:lineRule="auto"/>
        <w:jc w:val="center"/>
        <w:rPr>
          <w:rFonts w:ascii="宋体" w:eastAsia="宋体" w:hAnsi="宋体" w:hint="eastAsia"/>
          <w:b/>
          <w:bCs/>
          <w:sz w:val="24"/>
          <w:szCs w:val="24"/>
        </w:rPr>
      </w:pPr>
      <w:r w:rsidRPr="00050A67">
        <w:rPr>
          <w:rFonts w:ascii="宋体" w:eastAsia="宋体" w:hAnsi="宋体" w:hint="eastAsia"/>
          <w:b/>
          <w:bCs/>
          <w:sz w:val="24"/>
          <w:szCs w:val="24"/>
        </w:rPr>
        <w:t>第六章 给排水设计说明</w:t>
      </w:r>
    </w:p>
    <w:p w14:paraId="13EF1D10" w14:textId="3400946E" w:rsidR="00B93490" w:rsidRPr="00050A67" w:rsidRDefault="00050A67" w:rsidP="00050A67">
      <w:pPr>
        <w:spacing w:line="360" w:lineRule="auto"/>
        <w:rPr>
          <w:rFonts w:ascii="宋体" w:eastAsia="宋体" w:hAnsi="宋体" w:hint="eastAsia"/>
          <w:b/>
          <w:bCs/>
          <w:sz w:val="24"/>
          <w:szCs w:val="24"/>
        </w:rPr>
      </w:pPr>
      <w:r w:rsidRPr="00050A67">
        <w:rPr>
          <w:rFonts w:ascii="宋体" w:eastAsia="宋体" w:hAnsi="宋体" w:hint="eastAsia"/>
          <w:b/>
          <w:bCs/>
          <w:sz w:val="24"/>
          <w:szCs w:val="24"/>
        </w:rPr>
        <w:t>6</w:t>
      </w:r>
      <w:r w:rsidRPr="00050A67">
        <w:rPr>
          <w:rFonts w:ascii="宋体" w:eastAsia="宋体" w:hAnsi="宋体"/>
          <w:b/>
          <w:bCs/>
          <w:sz w:val="24"/>
          <w:szCs w:val="24"/>
        </w:rPr>
        <w:t>.1</w:t>
      </w:r>
      <w:r w:rsidR="00B93490" w:rsidRPr="00050A67">
        <w:rPr>
          <w:rFonts w:ascii="宋体" w:eastAsia="宋体" w:hAnsi="宋体" w:hint="eastAsia"/>
          <w:b/>
          <w:bCs/>
          <w:sz w:val="24"/>
          <w:szCs w:val="24"/>
        </w:rPr>
        <w:t>设计依据</w:t>
      </w:r>
    </w:p>
    <w:p w14:paraId="573AA06A"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《建筑给水排水设计规范》GB50015-2003（2009版）</w:t>
      </w:r>
    </w:p>
    <w:p w14:paraId="7F28E5C9"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《民用建筑节水设计标准》GB50555-2010</w:t>
      </w:r>
    </w:p>
    <w:p w14:paraId="5F0443B5"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《室外给水设计规范》GB 50013－2006</w:t>
      </w:r>
    </w:p>
    <w:p w14:paraId="41A661FA"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《消防给水及消火栓系统技术规范》GB50974-2014</w:t>
      </w:r>
    </w:p>
    <w:p w14:paraId="27098AE4"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《建筑设计防火规范》GB50016-2014</w:t>
      </w:r>
    </w:p>
    <w:p w14:paraId="342202DA"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《室外排水设计规范》GB50014－2006(2014年版)</w:t>
      </w:r>
    </w:p>
    <w:p w14:paraId="17D43D9D"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《建筑灭火器配置设计规范》GB50140(2005年版)</w:t>
      </w:r>
    </w:p>
    <w:p w14:paraId="444C7066" w14:textId="7BE6F0D3" w:rsidR="00B93490" w:rsidRPr="00050A67" w:rsidRDefault="00050A67" w:rsidP="00050A67">
      <w:pPr>
        <w:spacing w:line="360" w:lineRule="auto"/>
        <w:rPr>
          <w:rFonts w:ascii="宋体" w:eastAsia="宋体" w:hAnsi="宋体" w:hint="eastAsia"/>
          <w:b/>
          <w:bCs/>
          <w:sz w:val="24"/>
          <w:szCs w:val="24"/>
        </w:rPr>
      </w:pPr>
      <w:r w:rsidRPr="00050A67">
        <w:rPr>
          <w:rFonts w:ascii="宋体" w:eastAsia="宋体" w:hAnsi="宋体" w:hint="eastAsia"/>
          <w:b/>
          <w:bCs/>
          <w:sz w:val="24"/>
          <w:szCs w:val="24"/>
        </w:rPr>
        <w:t>6</w:t>
      </w:r>
      <w:r w:rsidRPr="00050A67">
        <w:rPr>
          <w:rFonts w:ascii="宋体" w:eastAsia="宋体" w:hAnsi="宋体"/>
          <w:b/>
          <w:bCs/>
          <w:sz w:val="24"/>
          <w:szCs w:val="24"/>
        </w:rPr>
        <w:t>.2</w:t>
      </w:r>
      <w:r w:rsidR="00B93490" w:rsidRPr="00050A67">
        <w:rPr>
          <w:rFonts w:ascii="宋体" w:eastAsia="宋体" w:hAnsi="宋体" w:hint="eastAsia"/>
          <w:b/>
          <w:bCs/>
          <w:sz w:val="24"/>
          <w:szCs w:val="24"/>
        </w:rPr>
        <w:t>设计范围</w:t>
      </w:r>
    </w:p>
    <w:p w14:paraId="4380D405"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 xml:space="preserve"> 1、本红线以内室外和室内给水排水及消防系统。</w:t>
      </w:r>
    </w:p>
    <w:p w14:paraId="40528AEC"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lastRenderedPageBreak/>
        <w:t>2、本工程水表井与城市给水管的连接管段和最末一座检查井与城市污水管及雨水管的连接管等，由城市有关部门负责设计。</w:t>
      </w:r>
    </w:p>
    <w:p w14:paraId="39A86809" w14:textId="46E0ADF7" w:rsidR="00B93490" w:rsidRPr="00050A67" w:rsidRDefault="00050A67" w:rsidP="00050A67">
      <w:pPr>
        <w:spacing w:line="360" w:lineRule="auto"/>
        <w:rPr>
          <w:rFonts w:ascii="宋体" w:eastAsia="宋体" w:hAnsi="宋体" w:hint="eastAsia"/>
          <w:b/>
          <w:bCs/>
          <w:sz w:val="24"/>
          <w:szCs w:val="24"/>
        </w:rPr>
      </w:pPr>
      <w:r w:rsidRPr="00050A67">
        <w:rPr>
          <w:rFonts w:ascii="宋体" w:eastAsia="宋体" w:hAnsi="宋体" w:hint="eastAsia"/>
          <w:b/>
          <w:bCs/>
          <w:sz w:val="24"/>
          <w:szCs w:val="24"/>
        </w:rPr>
        <w:t>6</w:t>
      </w:r>
      <w:r w:rsidRPr="00050A67">
        <w:rPr>
          <w:rFonts w:ascii="宋体" w:eastAsia="宋体" w:hAnsi="宋体"/>
          <w:b/>
          <w:bCs/>
          <w:sz w:val="24"/>
          <w:szCs w:val="24"/>
        </w:rPr>
        <w:t>.3</w:t>
      </w:r>
      <w:r w:rsidR="00B93490" w:rsidRPr="00050A67">
        <w:rPr>
          <w:rFonts w:ascii="宋体" w:eastAsia="宋体" w:hAnsi="宋体" w:hint="eastAsia"/>
          <w:b/>
          <w:bCs/>
          <w:sz w:val="24"/>
          <w:szCs w:val="24"/>
        </w:rPr>
        <w:t>给水系统</w:t>
      </w:r>
    </w:p>
    <w:p w14:paraId="0CABF51E"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1、本工程水源为城市自来水，供水压力≥0.30MPa。</w:t>
      </w:r>
    </w:p>
    <w:p w14:paraId="3BE73D31"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2、本工程从不同的城市道路管网上就近接出二根DN200mm的引入管在区块内形成环状管网。满足消防和生活用水要求。</w:t>
      </w:r>
    </w:p>
    <w:p w14:paraId="31234A9B"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3、水质：市政自来水已符合生活饮用水标准，不再做水质深度处理。</w:t>
      </w:r>
    </w:p>
    <w:p w14:paraId="31F1F2ED"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4、室内生活给水系统：</w:t>
      </w:r>
    </w:p>
    <w:p w14:paraId="2A01470A" w14:textId="1D94C8AD"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1).本次</w:t>
      </w:r>
      <w:r w:rsidR="003B4357" w:rsidRPr="00050A67">
        <w:rPr>
          <w:rFonts w:ascii="宋体" w:eastAsia="宋体" w:hAnsi="宋体" w:hint="eastAsia"/>
          <w:sz w:val="24"/>
          <w:szCs w:val="24"/>
        </w:rPr>
        <w:t>设计</w:t>
      </w:r>
      <w:r w:rsidRPr="00050A67">
        <w:rPr>
          <w:rFonts w:ascii="宋体" w:eastAsia="宋体" w:hAnsi="宋体" w:hint="eastAsia"/>
          <w:sz w:val="24"/>
          <w:szCs w:val="24"/>
        </w:rPr>
        <w:t>建筑地上四层，由城市自来水水压直接供水。供水压力≥0.30MPa。</w:t>
      </w:r>
    </w:p>
    <w:p w14:paraId="0E0F156A"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2).五层及五层以上采用无负压给水系统加压后供给。</w:t>
      </w:r>
    </w:p>
    <w:p w14:paraId="73B5419F"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 xml:space="preserve"> 3).无负压给水系统采用成套设备供水，其供水流量满足设计流量要求。分区采用可调式减压阀进行分区。</w:t>
      </w:r>
    </w:p>
    <w:p w14:paraId="0BA360DC" w14:textId="14A80363" w:rsidR="00B93490" w:rsidRPr="00050A67" w:rsidRDefault="00050A67" w:rsidP="00050A67">
      <w:pPr>
        <w:spacing w:line="360" w:lineRule="auto"/>
        <w:rPr>
          <w:rFonts w:ascii="宋体" w:eastAsia="宋体" w:hAnsi="宋体" w:hint="eastAsia"/>
          <w:b/>
          <w:bCs/>
          <w:sz w:val="24"/>
          <w:szCs w:val="24"/>
        </w:rPr>
      </w:pPr>
      <w:r w:rsidRPr="00050A67">
        <w:rPr>
          <w:rFonts w:ascii="宋体" w:eastAsia="宋体" w:hAnsi="宋体" w:hint="eastAsia"/>
          <w:b/>
          <w:bCs/>
          <w:sz w:val="24"/>
          <w:szCs w:val="24"/>
        </w:rPr>
        <w:t>6</w:t>
      </w:r>
      <w:r w:rsidRPr="00050A67">
        <w:rPr>
          <w:rFonts w:ascii="宋体" w:eastAsia="宋体" w:hAnsi="宋体"/>
          <w:b/>
          <w:bCs/>
          <w:sz w:val="24"/>
          <w:szCs w:val="24"/>
        </w:rPr>
        <w:t>.4</w:t>
      </w:r>
      <w:r w:rsidR="00B93490" w:rsidRPr="00050A67">
        <w:rPr>
          <w:rFonts w:ascii="宋体" w:eastAsia="宋体" w:hAnsi="宋体" w:hint="eastAsia"/>
          <w:b/>
          <w:bCs/>
          <w:sz w:val="24"/>
          <w:szCs w:val="24"/>
        </w:rPr>
        <w:t xml:space="preserve">排水系统  </w:t>
      </w:r>
    </w:p>
    <w:p w14:paraId="15C78136"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1、规划原则:根据规划用地的地形,就近排放雨水和污水,合理划分排放区域。</w:t>
      </w:r>
    </w:p>
    <w:p w14:paraId="21B4AB51"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2、室内采用粪便污水与其他废水合流排水管道系统。室内地面层（±0.000m）以上的生活污水重力流排出；地面层（±0.000m）以下的废水采用管道汇集至集水坑内，用潜水排污泵提升后、排入室外市政道路上的污水管道。</w:t>
      </w:r>
    </w:p>
    <w:p w14:paraId="2B1D0CD5"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3、为保证较好的室内环境，污水管道系统设有专用通气立管。</w:t>
      </w:r>
    </w:p>
    <w:p w14:paraId="14820905"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4、室外采用雨、污分流制排水体制。</w:t>
      </w:r>
      <w:r w:rsidRPr="00050A67">
        <w:rPr>
          <w:rFonts w:ascii="宋体" w:eastAsia="宋体" w:hAnsi="宋体"/>
          <w:sz w:val="24"/>
          <w:szCs w:val="24"/>
        </w:rPr>
        <w:t xml:space="preserve"> </w:t>
      </w:r>
      <w:r w:rsidRPr="00050A67">
        <w:rPr>
          <w:rFonts w:ascii="宋体" w:eastAsia="宋体" w:hAnsi="宋体" w:hint="eastAsia"/>
          <w:sz w:val="24"/>
          <w:szCs w:val="24"/>
        </w:rPr>
        <w:t>建筑中雨水经雨水管道收集后，进入中水系统；污水由化粪池处理后经污水管道收集，排入市政污水管网。</w:t>
      </w:r>
    </w:p>
    <w:p w14:paraId="5BA0BCC9"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 xml:space="preserve">5、排水标准:雨水排放标准:雨水计算采用九江地区暴雨强度公式: q=2890(1+0.55lgP)/(t+8)0.79 </w:t>
      </w:r>
    </w:p>
    <w:p w14:paraId="40775F29"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重现期:P=2年,初始集水时间为t1=10分钟,径流系数Φ=0.65</w:t>
      </w:r>
    </w:p>
    <w:p w14:paraId="3E8A7033"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6、室外道路边适当位置设置平箅式雨水口、收集道路、人行道及屋面雨水。</w:t>
      </w:r>
    </w:p>
    <w:p w14:paraId="5FFF393B" w14:textId="18B54A4A" w:rsidR="00B93490" w:rsidRPr="00050A67" w:rsidRDefault="00050A67" w:rsidP="00050A67">
      <w:pPr>
        <w:spacing w:line="360" w:lineRule="auto"/>
        <w:rPr>
          <w:rFonts w:ascii="宋体" w:eastAsia="宋体" w:hAnsi="宋体" w:hint="eastAsia"/>
          <w:b/>
          <w:bCs/>
          <w:sz w:val="24"/>
          <w:szCs w:val="24"/>
        </w:rPr>
      </w:pPr>
      <w:r w:rsidRPr="00050A67">
        <w:rPr>
          <w:rFonts w:ascii="宋体" w:eastAsia="宋体" w:hAnsi="宋体" w:hint="eastAsia"/>
          <w:b/>
          <w:bCs/>
          <w:sz w:val="24"/>
          <w:szCs w:val="24"/>
        </w:rPr>
        <w:t>6</w:t>
      </w:r>
      <w:r w:rsidRPr="00050A67">
        <w:rPr>
          <w:rFonts w:ascii="宋体" w:eastAsia="宋体" w:hAnsi="宋体"/>
          <w:b/>
          <w:bCs/>
          <w:sz w:val="24"/>
          <w:szCs w:val="24"/>
        </w:rPr>
        <w:t>.5</w:t>
      </w:r>
      <w:r w:rsidR="00B93490" w:rsidRPr="00050A67">
        <w:rPr>
          <w:rFonts w:ascii="宋体" w:eastAsia="宋体" w:hAnsi="宋体" w:hint="eastAsia"/>
          <w:b/>
          <w:bCs/>
          <w:sz w:val="24"/>
          <w:szCs w:val="24"/>
        </w:rPr>
        <w:t>消防系统</w:t>
      </w:r>
    </w:p>
    <w:p w14:paraId="5D436B11" w14:textId="3EC952F5" w:rsidR="00B93490" w:rsidRPr="00050A67" w:rsidRDefault="00050A67" w:rsidP="00050A67">
      <w:pPr>
        <w:spacing w:line="360" w:lineRule="auto"/>
        <w:ind w:firstLineChars="250" w:firstLine="600"/>
        <w:rPr>
          <w:rFonts w:ascii="宋体" w:eastAsia="宋体" w:hAnsi="宋体" w:hint="eastAsia"/>
          <w:sz w:val="24"/>
          <w:szCs w:val="24"/>
        </w:rPr>
      </w:pPr>
      <w:r>
        <w:rPr>
          <w:rFonts w:ascii="宋体" w:eastAsia="宋体" w:hAnsi="宋体"/>
          <w:sz w:val="24"/>
          <w:szCs w:val="24"/>
        </w:rPr>
        <w:t>6.</w:t>
      </w:r>
      <w:r w:rsidR="00B93490" w:rsidRPr="00050A67">
        <w:rPr>
          <w:rFonts w:ascii="宋体" w:eastAsia="宋体" w:hAnsi="宋体" w:hint="eastAsia"/>
          <w:sz w:val="24"/>
          <w:szCs w:val="24"/>
        </w:rPr>
        <w:t>1.消防给水</w:t>
      </w:r>
    </w:p>
    <w:p w14:paraId="7E6F54D2"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lastRenderedPageBreak/>
        <w:t>设计依据</w:t>
      </w:r>
    </w:p>
    <w:p w14:paraId="101600D7"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《建筑设计防火规范》GB50016-2014</w:t>
      </w:r>
    </w:p>
    <w:p w14:paraId="372AF805"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《消防给水及消火栓系统技术规范》GB50974-2014</w:t>
      </w:r>
    </w:p>
    <w:p w14:paraId="0679AF56"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《建筑灭火器配置设计规范》GB 50140-2005(2005年版)</w:t>
      </w:r>
    </w:p>
    <w:p w14:paraId="05482FB7" w14:textId="3CD329F6" w:rsidR="00B93490" w:rsidRPr="00050A67" w:rsidRDefault="00050A67" w:rsidP="00050A67">
      <w:pPr>
        <w:spacing w:line="360" w:lineRule="auto"/>
        <w:ind w:firstLineChars="250" w:firstLine="600"/>
        <w:rPr>
          <w:rFonts w:ascii="宋体" w:eastAsia="宋体" w:hAnsi="宋体" w:hint="eastAsia"/>
          <w:sz w:val="24"/>
          <w:szCs w:val="24"/>
        </w:rPr>
      </w:pPr>
      <w:r>
        <w:rPr>
          <w:rFonts w:ascii="宋体" w:eastAsia="宋体" w:hAnsi="宋体"/>
          <w:sz w:val="24"/>
          <w:szCs w:val="24"/>
        </w:rPr>
        <w:t>6.</w:t>
      </w:r>
      <w:r w:rsidR="00B93490" w:rsidRPr="00050A67">
        <w:rPr>
          <w:rFonts w:ascii="宋体" w:eastAsia="宋体" w:hAnsi="宋体" w:hint="eastAsia"/>
          <w:sz w:val="24"/>
          <w:szCs w:val="24"/>
        </w:rPr>
        <w:t>2消防水源及消防用水量</w:t>
      </w:r>
    </w:p>
    <w:p w14:paraId="3D5B3F2C"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 xml:space="preserve">1）消防用水量标准及一次灭火用水量 </w:t>
      </w:r>
    </w:p>
    <w:p w14:paraId="70933D98"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消防水源由城市给水管网供给，一次消防用水量为360m3,其中:</w:t>
      </w:r>
    </w:p>
    <w:p w14:paraId="5BAEDC6A"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室外消防用水量: 15 L/S  火灾延续时间2小时    15×2×3.6=108m3</w:t>
      </w:r>
    </w:p>
    <w:p w14:paraId="5E4AB36F"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 xml:space="preserve">室内消防用水量: 20 L/S  火灾延续时间2小时    20×2×3.6=144m3 </w:t>
      </w:r>
    </w:p>
    <w:p w14:paraId="72D29CDC"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自动喷淋用水量: 30 L/S  火灾延续时间1小时    30×1×3.6=108m3</w:t>
      </w:r>
    </w:p>
    <w:p w14:paraId="14D8A793"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2） 消防水源</w:t>
      </w:r>
    </w:p>
    <w:p w14:paraId="56A16B6C"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 xml:space="preserve">  a.从校园区域不同方向引入二根DN200mm的市政给水管，进入用地红线后在本工程室外形成环状给水管连接，双向供水。</w:t>
      </w:r>
    </w:p>
    <w:p w14:paraId="09A2F0D8"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 xml:space="preserve">  b.消防水源由市政给水管网直接供给，流量及压力均满足要求。</w:t>
      </w:r>
    </w:p>
    <w:p w14:paraId="4AFE4371" w14:textId="31C2B368" w:rsidR="00B93490" w:rsidRPr="00050A67" w:rsidRDefault="008D00C7" w:rsidP="00050A67">
      <w:pPr>
        <w:spacing w:line="360" w:lineRule="auto"/>
        <w:ind w:firstLineChars="250" w:firstLine="600"/>
        <w:rPr>
          <w:rFonts w:ascii="宋体" w:eastAsia="宋体" w:hAnsi="宋体" w:hint="eastAsia"/>
          <w:sz w:val="24"/>
          <w:szCs w:val="24"/>
        </w:rPr>
      </w:pPr>
      <w:r>
        <w:rPr>
          <w:rFonts w:ascii="宋体" w:eastAsia="宋体" w:hAnsi="宋体"/>
          <w:sz w:val="24"/>
          <w:szCs w:val="24"/>
        </w:rPr>
        <w:t>6.</w:t>
      </w:r>
      <w:r w:rsidR="00B93490" w:rsidRPr="00050A67">
        <w:rPr>
          <w:rFonts w:ascii="宋体" w:eastAsia="宋体" w:hAnsi="宋体" w:hint="eastAsia"/>
          <w:sz w:val="24"/>
          <w:szCs w:val="24"/>
        </w:rPr>
        <w:t>3消防系统</w:t>
      </w:r>
    </w:p>
    <w:p w14:paraId="176E3001"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1）室外消防给水系统</w:t>
      </w:r>
    </w:p>
    <w:p w14:paraId="793443B1"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 xml:space="preserve">  由市政管道引入两根DN200给水管，在改造建筑内联成环，供室外消火栓用水。管道上根据消防需要设置若干室外消火栓，其间距不超过120m，且保护半径不大于150m。距道路边不大于2.0m，距建筑物外墙不小于5.0m。室外消防采用低压制给水系统，由市政自来水直接供水，发生火灾时，由城市消防车从现场室外消火栓取水经加压进行灭火或经消防水泵接合器供室内消防灭火用水。</w:t>
      </w:r>
    </w:p>
    <w:p w14:paraId="6515D961"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2）室内消火栓灭火系统</w:t>
      </w:r>
    </w:p>
    <w:p w14:paraId="124156A7"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a、本建筑物内各层均设消火栓进行保护。其布置保证室内任何一处均有2股水柱同时到达。灭火水枪的充实水柱不小于13m。</w:t>
      </w:r>
    </w:p>
    <w:p w14:paraId="6FA5F42C"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b、消火栓系统设有2套消防水泵接合器。</w:t>
      </w:r>
    </w:p>
    <w:p w14:paraId="4C951BF8"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c、在改造建筑中最高楼顶层设有18T装配式不锈钢高位消防水箱。</w:t>
      </w:r>
    </w:p>
    <w:p w14:paraId="0F5EC6CC"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3）自动喷水灭火系统</w:t>
      </w:r>
    </w:p>
    <w:p w14:paraId="41FD4172" w14:textId="77777777" w:rsidR="00B93490" w:rsidRPr="00050A67" w:rsidRDefault="00B93490" w:rsidP="00050A67">
      <w:pPr>
        <w:spacing w:line="360" w:lineRule="auto"/>
        <w:ind w:firstLineChars="250" w:firstLine="600"/>
        <w:rPr>
          <w:rFonts w:ascii="宋体" w:eastAsia="宋体" w:hAnsi="宋体"/>
          <w:sz w:val="24"/>
          <w:szCs w:val="24"/>
        </w:rPr>
      </w:pPr>
      <w:r w:rsidRPr="00050A67">
        <w:rPr>
          <w:rFonts w:ascii="宋体" w:eastAsia="宋体" w:hAnsi="宋体" w:hint="eastAsia"/>
          <w:sz w:val="24"/>
          <w:szCs w:val="24"/>
        </w:rPr>
        <w:lastRenderedPageBreak/>
        <w:t>b、自动喷水灭火系统平时由屋顶消防水箱设专用水管至报警阀前供水管，保证系统压力。</w:t>
      </w:r>
    </w:p>
    <w:p w14:paraId="2BC49B3E"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c、自动喷水灭火系统每个防火分区或每层均设信号阀和水流指示器。</w:t>
      </w:r>
    </w:p>
    <w:p w14:paraId="3084516C"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d、为了保证系统安全可靠，每个报警阀组的最不利喷头处设末端试水装置，其它防火分区和各楼层的最不利喷头处，均设DN25mm试水阀。</w:t>
      </w:r>
    </w:p>
    <w:p w14:paraId="5F34630A" w14:textId="5B984E27" w:rsidR="00B93490" w:rsidRPr="00050A67" w:rsidRDefault="008D00C7" w:rsidP="00050A67">
      <w:pPr>
        <w:spacing w:line="360" w:lineRule="auto"/>
        <w:ind w:firstLineChars="250" w:firstLine="600"/>
        <w:rPr>
          <w:rFonts w:ascii="宋体" w:eastAsia="宋体" w:hAnsi="宋体" w:hint="eastAsia"/>
          <w:sz w:val="24"/>
          <w:szCs w:val="24"/>
        </w:rPr>
      </w:pPr>
      <w:r>
        <w:rPr>
          <w:rFonts w:ascii="宋体" w:eastAsia="宋体" w:hAnsi="宋体"/>
          <w:sz w:val="24"/>
          <w:szCs w:val="24"/>
        </w:rPr>
        <w:t>6.</w:t>
      </w:r>
      <w:r w:rsidR="00B93490" w:rsidRPr="00050A67">
        <w:rPr>
          <w:rFonts w:ascii="宋体" w:eastAsia="宋体" w:hAnsi="宋体" w:hint="eastAsia"/>
          <w:sz w:val="24"/>
          <w:szCs w:val="24"/>
        </w:rPr>
        <w:t>4.移动式灭火装置</w:t>
      </w:r>
    </w:p>
    <w:p w14:paraId="77C8696B"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1).变配电用房及发电机房采用气溶胶灭火系统。</w:t>
      </w:r>
    </w:p>
    <w:p w14:paraId="5E813890"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 xml:space="preserve">    2).电梯机房、住宅、和走廊的适当位置均按中危险级设手提式磷酸铵盐干粉式灭火器。</w:t>
      </w:r>
    </w:p>
    <w:p w14:paraId="1E63CE8C" w14:textId="77777777" w:rsidR="00B93490" w:rsidRPr="008D00C7" w:rsidRDefault="00B93490" w:rsidP="008D00C7">
      <w:pPr>
        <w:spacing w:line="360" w:lineRule="auto"/>
        <w:ind w:firstLineChars="250" w:firstLine="602"/>
        <w:jc w:val="center"/>
        <w:rPr>
          <w:rFonts w:ascii="宋体" w:eastAsia="宋体" w:hAnsi="宋体" w:hint="eastAsia"/>
          <w:b/>
          <w:bCs/>
          <w:sz w:val="24"/>
          <w:szCs w:val="24"/>
        </w:rPr>
      </w:pPr>
      <w:r w:rsidRPr="008D00C7">
        <w:rPr>
          <w:rFonts w:ascii="宋体" w:eastAsia="宋体" w:hAnsi="宋体" w:hint="eastAsia"/>
          <w:b/>
          <w:bCs/>
          <w:sz w:val="24"/>
          <w:szCs w:val="24"/>
        </w:rPr>
        <w:t>第七章 电气设计说明</w:t>
      </w:r>
    </w:p>
    <w:p w14:paraId="75F7895A" w14:textId="1063533D" w:rsidR="00B93490" w:rsidRPr="008D00C7" w:rsidRDefault="008D00C7" w:rsidP="008D00C7">
      <w:pPr>
        <w:spacing w:line="360" w:lineRule="auto"/>
        <w:rPr>
          <w:rFonts w:ascii="宋体" w:eastAsia="宋体" w:hAnsi="宋体" w:hint="eastAsia"/>
          <w:b/>
          <w:bCs/>
          <w:sz w:val="24"/>
          <w:szCs w:val="24"/>
        </w:rPr>
      </w:pPr>
      <w:r w:rsidRPr="008D00C7">
        <w:rPr>
          <w:rFonts w:ascii="宋体" w:eastAsia="宋体" w:hAnsi="宋体"/>
          <w:b/>
          <w:bCs/>
          <w:sz w:val="24"/>
          <w:szCs w:val="24"/>
        </w:rPr>
        <w:t>7.1</w:t>
      </w:r>
      <w:r w:rsidR="00B93490" w:rsidRPr="008D00C7">
        <w:rPr>
          <w:rFonts w:ascii="宋体" w:eastAsia="宋体" w:hAnsi="宋体" w:hint="eastAsia"/>
          <w:b/>
          <w:bCs/>
          <w:sz w:val="24"/>
          <w:szCs w:val="24"/>
        </w:rPr>
        <w:t>设计依据</w:t>
      </w:r>
    </w:p>
    <w:p w14:paraId="345D4040" w14:textId="6D629060" w:rsidR="00B93490" w:rsidRPr="00050A67" w:rsidRDefault="008D00C7" w:rsidP="00050A67">
      <w:pPr>
        <w:spacing w:line="360" w:lineRule="auto"/>
        <w:ind w:firstLineChars="250" w:firstLine="600"/>
        <w:rPr>
          <w:rFonts w:ascii="宋体" w:eastAsia="宋体" w:hAnsi="宋体" w:hint="eastAsia"/>
          <w:sz w:val="24"/>
          <w:szCs w:val="24"/>
        </w:rPr>
      </w:pPr>
      <w:r>
        <w:rPr>
          <w:rFonts w:ascii="宋体" w:eastAsia="宋体" w:hAnsi="宋体"/>
          <w:sz w:val="24"/>
          <w:szCs w:val="24"/>
        </w:rPr>
        <w:t>7</w:t>
      </w:r>
      <w:r w:rsidR="00B93490" w:rsidRPr="00050A67">
        <w:rPr>
          <w:rFonts w:ascii="宋体" w:eastAsia="宋体" w:hAnsi="宋体" w:hint="eastAsia"/>
          <w:sz w:val="24"/>
          <w:szCs w:val="24"/>
        </w:rPr>
        <w:t>.1</w:t>
      </w:r>
      <w:r>
        <w:rPr>
          <w:rFonts w:ascii="宋体" w:eastAsia="宋体" w:hAnsi="宋体"/>
          <w:sz w:val="24"/>
          <w:szCs w:val="24"/>
        </w:rPr>
        <w:t>.1</w:t>
      </w:r>
      <w:r w:rsidR="00B93490" w:rsidRPr="00050A67">
        <w:rPr>
          <w:rFonts w:ascii="宋体" w:eastAsia="宋体" w:hAnsi="宋体" w:hint="eastAsia"/>
          <w:sz w:val="24"/>
          <w:szCs w:val="24"/>
        </w:rPr>
        <w:t>土建专业提供的建筑平面布置图以及相关的用电资料。</w:t>
      </w:r>
    </w:p>
    <w:p w14:paraId="7876A925" w14:textId="7949AA02" w:rsidR="00B93490" w:rsidRPr="00050A67" w:rsidRDefault="008D00C7" w:rsidP="00050A67">
      <w:pPr>
        <w:spacing w:line="360" w:lineRule="auto"/>
        <w:ind w:firstLineChars="250" w:firstLine="600"/>
        <w:rPr>
          <w:rFonts w:ascii="宋体" w:eastAsia="宋体" w:hAnsi="宋体" w:hint="eastAsia"/>
          <w:sz w:val="24"/>
          <w:szCs w:val="24"/>
        </w:rPr>
      </w:pPr>
      <w:r>
        <w:rPr>
          <w:rFonts w:ascii="宋体" w:eastAsia="宋体" w:hAnsi="宋体"/>
          <w:sz w:val="24"/>
          <w:szCs w:val="24"/>
        </w:rPr>
        <w:t>7.</w:t>
      </w:r>
      <w:r w:rsidR="00B93490" w:rsidRPr="00050A67">
        <w:rPr>
          <w:rFonts w:ascii="宋体" w:eastAsia="宋体" w:hAnsi="宋体" w:hint="eastAsia"/>
          <w:sz w:val="24"/>
          <w:szCs w:val="24"/>
        </w:rPr>
        <w:t>1.2 本设计依据以下有关规定、规范：</w:t>
      </w:r>
    </w:p>
    <w:p w14:paraId="7B43DEBC"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(1)</w:t>
      </w:r>
      <w:r w:rsidRPr="00050A67">
        <w:rPr>
          <w:rFonts w:ascii="宋体" w:eastAsia="宋体" w:hAnsi="宋体"/>
          <w:sz w:val="24"/>
          <w:szCs w:val="24"/>
        </w:rPr>
        <w:t xml:space="preserve"> GB50189-2015</w:t>
      </w:r>
      <w:r w:rsidRPr="00050A67">
        <w:rPr>
          <w:rFonts w:ascii="宋体" w:eastAsia="宋体" w:hAnsi="宋体" w:hint="eastAsia"/>
          <w:sz w:val="24"/>
          <w:szCs w:val="24"/>
        </w:rPr>
        <w:t xml:space="preserve"> 公共建筑节能设计标准； </w:t>
      </w:r>
    </w:p>
    <w:p w14:paraId="75C4BA85"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(2) GB50016-2014  建筑设计防火规范；</w:t>
      </w:r>
    </w:p>
    <w:p w14:paraId="173473A2"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 xml:space="preserve">(3) JGJ 16-2008 民用建筑电气设计规范；    </w:t>
      </w:r>
    </w:p>
    <w:p w14:paraId="5244D64E" w14:textId="6CAD5DAC"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 xml:space="preserve">(4) GB50052-2009 供配电系统设计规范；    </w:t>
      </w:r>
    </w:p>
    <w:p w14:paraId="35DE60FA" w14:textId="51EF88DE"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(5) GB50057-2010 建筑物防雷设计规范；</w:t>
      </w:r>
    </w:p>
    <w:p w14:paraId="2F3B2D37" w14:textId="6BE5CCAC" w:rsidR="00B93490" w:rsidRPr="008D00C7" w:rsidRDefault="008D00C7" w:rsidP="008D00C7">
      <w:pPr>
        <w:spacing w:line="360" w:lineRule="auto"/>
        <w:rPr>
          <w:rFonts w:ascii="宋体" w:eastAsia="宋体" w:hAnsi="宋体" w:hint="eastAsia"/>
          <w:b/>
          <w:bCs/>
          <w:sz w:val="24"/>
          <w:szCs w:val="24"/>
        </w:rPr>
      </w:pPr>
      <w:r w:rsidRPr="008D00C7">
        <w:rPr>
          <w:rFonts w:ascii="宋体" w:eastAsia="宋体" w:hAnsi="宋体"/>
          <w:b/>
          <w:bCs/>
          <w:sz w:val="24"/>
          <w:szCs w:val="24"/>
        </w:rPr>
        <w:t>7.2</w:t>
      </w:r>
      <w:r w:rsidR="00B93490" w:rsidRPr="008D00C7">
        <w:rPr>
          <w:rFonts w:ascii="宋体" w:eastAsia="宋体" w:hAnsi="宋体" w:hint="eastAsia"/>
          <w:b/>
          <w:bCs/>
          <w:sz w:val="24"/>
          <w:szCs w:val="24"/>
        </w:rPr>
        <w:t>设计范围</w:t>
      </w:r>
    </w:p>
    <w:p w14:paraId="0C425B05"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 xml:space="preserve">根据设计要则及有关专业用电要求，本专业设计范围如下： </w:t>
      </w:r>
    </w:p>
    <w:p w14:paraId="68AA7F98"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 xml:space="preserve"> (1) 校园建筑包含实验楼在内变电所及室外供配电系统规划设计；</w:t>
      </w:r>
    </w:p>
    <w:p w14:paraId="6FEDCD92"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 xml:space="preserve"> (2) 校园建筑包含实验楼在内多层建筑单体的配电、照明系统及防雷接地系统设计。</w:t>
      </w:r>
    </w:p>
    <w:p w14:paraId="10F454B3"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（3）校园建筑包含实验楼在内多层的火灾报警及消防控制系统设计。</w:t>
      </w:r>
    </w:p>
    <w:p w14:paraId="086217D8"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 xml:space="preserve"> (4) 校园建筑包含实验楼在内电讯及有线电器，宽带网等弱电系统的规划设计。   </w:t>
      </w:r>
    </w:p>
    <w:p w14:paraId="36397184" w14:textId="1FBCC078" w:rsidR="00B93490" w:rsidRPr="008D00C7" w:rsidRDefault="008D00C7" w:rsidP="008D00C7">
      <w:pPr>
        <w:spacing w:line="360" w:lineRule="auto"/>
        <w:rPr>
          <w:rFonts w:ascii="宋体" w:eastAsia="宋体" w:hAnsi="宋体" w:hint="eastAsia"/>
          <w:b/>
          <w:bCs/>
          <w:sz w:val="24"/>
          <w:szCs w:val="24"/>
        </w:rPr>
      </w:pPr>
      <w:r w:rsidRPr="008D00C7">
        <w:rPr>
          <w:rFonts w:ascii="宋体" w:eastAsia="宋体" w:hAnsi="宋体"/>
          <w:b/>
          <w:bCs/>
          <w:sz w:val="24"/>
          <w:szCs w:val="24"/>
        </w:rPr>
        <w:t>7.3</w:t>
      </w:r>
      <w:r w:rsidR="00B93490" w:rsidRPr="008D00C7">
        <w:rPr>
          <w:rFonts w:ascii="宋体" w:eastAsia="宋体" w:hAnsi="宋体" w:hint="eastAsia"/>
          <w:b/>
          <w:bCs/>
          <w:sz w:val="24"/>
          <w:szCs w:val="24"/>
        </w:rPr>
        <w:t>变配电部分</w:t>
      </w:r>
    </w:p>
    <w:p w14:paraId="54C4A9B2" w14:textId="0989270C" w:rsidR="00B93490" w:rsidRPr="00050A67" w:rsidRDefault="008D00C7" w:rsidP="00050A67">
      <w:pPr>
        <w:spacing w:line="360" w:lineRule="auto"/>
        <w:ind w:firstLineChars="250" w:firstLine="600"/>
        <w:rPr>
          <w:rFonts w:ascii="宋体" w:eastAsia="宋体" w:hAnsi="宋体" w:hint="eastAsia"/>
          <w:sz w:val="24"/>
          <w:szCs w:val="24"/>
        </w:rPr>
      </w:pPr>
      <w:r>
        <w:rPr>
          <w:rFonts w:ascii="宋体" w:eastAsia="宋体" w:hAnsi="宋体"/>
          <w:sz w:val="24"/>
          <w:szCs w:val="24"/>
        </w:rPr>
        <w:t>7.</w:t>
      </w:r>
      <w:r w:rsidR="00B93490" w:rsidRPr="00050A67">
        <w:rPr>
          <w:rFonts w:ascii="宋体" w:eastAsia="宋体" w:hAnsi="宋体" w:hint="eastAsia"/>
          <w:sz w:val="24"/>
          <w:szCs w:val="24"/>
        </w:rPr>
        <w:t>3.1负荷等级及容量：</w:t>
      </w:r>
    </w:p>
    <w:p w14:paraId="17AEFC37"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lastRenderedPageBreak/>
        <w:t xml:space="preserve">校园建筑包含实验楼在内等其它用电负荷均属三级负荷。校园建筑包含实验楼在内变电所由本工程开闭所引出的一路10kV电源供电，采用10kV铠装电缆埋地引至设置在两个地块的各变电所。 </w:t>
      </w:r>
    </w:p>
    <w:p w14:paraId="2F0E88B2"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校园建筑包含实验楼在内用电负荷按每平方60W估算。</w:t>
      </w:r>
    </w:p>
    <w:p w14:paraId="5B9EEFC7" w14:textId="70FEA04B" w:rsidR="00B93490" w:rsidRPr="00050A67" w:rsidRDefault="008D00C7" w:rsidP="00050A67">
      <w:pPr>
        <w:spacing w:line="360" w:lineRule="auto"/>
        <w:ind w:firstLineChars="250" w:firstLine="600"/>
        <w:rPr>
          <w:rFonts w:ascii="宋体" w:eastAsia="宋体" w:hAnsi="宋体" w:hint="eastAsia"/>
          <w:sz w:val="24"/>
          <w:szCs w:val="24"/>
        </w:rPr>
      </w:pPr>
      <w:r>
        <w:rPr>
          <w:rFonts w:ascii="宋体" w:eastAsia="宋体" w:hAnsi="宋体"/>
          <w:sz w:val="24"/>
          <w:szCs w:val="24"/>
        </w:rPr>
        <w:t>7.</w:t>
      </w:r>
      <w:r w:rsidR="00B93490" w:rsidRPr="00050A67">
        <w:rPr>
          <w:rFonts w:ascii="宋体" w:eastAsia="宋体" w:hAnsi="宋体" w:hint="eastAsia"/>
          <w:sz w:val="24"/>
          <w:szCs w:val="24"/>
        </w:rPr>
        <w:t>3.2开闭站与变配电所设置 在本工程地块设置10kV开闭所一座，一路10kV电源引入本开闭所，设置室内公用变电所.1座，公变设置630KVA ,10/0.4kV的干式变压器3台,供校园建筑包含实验楼在内的用电。公用设施由专用变电所引来。本供电方案需由当地供电部门审批实施。</w:t>
      </w:r>
    </w:p>
    <w:p w14:paraId="7B617A55"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本供电方案需由当地供电部门审批实施。</w:t>
      </w:r>
    </w:p>
    <w:p w14:paraId="659F154C" w14:textId="20F18BEC" w:rsidR="00B93490" w:rsidRPr="00050A67" w:rsidRDefault="008D00C7" w:rsidP="00050A67">
      <w:pPr>
        <w:spacing w:line="360" w:lineRule="auto"/>
        <w:ind w:firstLineChars="250" w:firstLine="600"/>
        <w:rPr>
          <w:rFonts w:ascii="宋体" w:eastAsia="宋体" w:hAnsi="宋体" w:hint="eastAsia"/>
          <w:sz w:val="24"/>
          <w:szCs w:val="24"/>
        </w:rPr>
      </w:pPr>
      <w:r>
        <w:rPr>
          <w:rFonts w:ascii="宋体" w:eastAsia="宋体" w:hAnsi="宋体"/>
          <w:sz w:val="24"/>
          <w:szCs w:val="24"/>
        </w:rPr>
        <w:t>7.</w:t>
      </w:r>
      <w:r w:rsidR="00B93490" w:rsidRPr="00050A67">
        <w:rPr>
          <w:rFonts w:ascii="宋体" w:eastAsia="宋体" w:hAnsi="宋体" w:hint="eastAsia"/>
          <w:sz w:val="24"/>
          <w:szCs w:val="24"/>
        </w:rPr>
        <w:t xml:space="preserve">3.3计量及功率因数补偿 </w:t>
      </w:r>
    </w:p>
    <w:p w14:paraId="2300FFB8"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校园建筑包含实验楼在内以多层住宅建筑为主，采用低压集中计量，分层设置集中电表箱。每户一表，计量到户。</w:t>
      </w:r>
    </w:p>
    <w:p w14:paraId="785EFA06"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无功补偿为变电所集中自动补偿，补偿后的功率因数达0.9以上。</w:t>
      </w:r>
    </w:p>
    <w:p w14:paraId="6EAAC39E" w14:textId="7CA3825E" w:rsidR="00B93490" w:rsidRPr="008D00C7" w:rsidRDefault="008D00C7" w:rsidP="008D00C7">
      <w:pPr>
        <w:spacing w:line="360" w:lineRule="auto"/>
        <w:rPr>
          <w:rFonts w:ascii="宋体" w:eastAsia="宋体" w:hAnsi="宋体" w:hint="eastAsia"/>
          <w:b/>
          <w:bCs/>
          <w:sz w:val="24"/>
          <w:szCs w:val="24"/>
        </w:rPr>
      </w:pPr>
      <w:r w:rsidRPr="008D00C7">
        <w:rPr>
          <w:rFonts w:ascii="宋体" w:eastAsia="宋体" w:hAnsi="宋体"/>
          <w:b/>
          <w:bCs/>
          <w:sz w:val="24"/>
          <w:szCs w:val="24"/>
        </w:rPr>
        <w:t>7.4</w:t>
      </w:r>
      <w:r w:rsidR="00B93490" w:rsidRPr="008D00C7">
        <w:rPr>
          <w:rFonts w:ascii="宋体" w:eastAsia="宋体" w:hAnsi="宋体" w:hint="eastAsia"/>
          <w:b/>
          <w:bCs/>
          <w:sz w:val="24"/>
          <w:szCs w:val="24"/>
        </w:rPr>
        <w:t>室内电气设计</w:t>
      </w:r>
    </w:p>
    <w:p w14:paraId="281F85F4" w14:textId="5EFD68B3" w:rsidR="00B93490" w:rsidRPr="00050A67" w:rsidRDefault="003B4357"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大学生活动中心</w:t>
      </w:r>
      <w:r w:rsidR="00B93490" w:rsidRPr="00050A67">
        <w:rPr>
          <w:rFonts w:ascii="宋体" w:eastAsia="宋体" w:hAnsi="宋体" w:hint="eastAsia"/>
          <w:sz w:val="24"/>
          <w:szCs w:val="24"/>
        </w:rPr>
        <w:t>按楼层设配电箱，采用单相220 V供电，各层总开关采用漏电保护型单相二极开关。每室设1个灯头；空调插座，普通插座，卫生间插座分路供电，插座回路除壁挂空调回路外均设漏电保护开关。</w:t>
      </w:r>
    </w:p>
    <w:p w14:paraId="5C62975D" w14:textId="7B0BB96C" w:rsidR="00B93490" w:rsidRPr="008D00C7" w:rsidRDefault="008D00C7" w:rsidP="008D00C7">
      <w:pPr>
        <w:spacing w:line="360" w:lineRule="auto"/>
        <w:rPr>
          <w:rFonts w:ascii="宋体" w:eastAsia="宋体" w:hAnsi="宋体" w:hint="eastAsia"/>
          <w:b/>
          <w:bCs/>
          <w:sz w:val="24"/>
          <w:szCs w:val="24"/>
        </w:rPr>
      </w:pPr>
      <w:r w:rsidRPr="008D00C7">
        <w:rPr>
          <w:rFonts w:ascii="宋体" w:eastAsia="宋体" w:hAnsi="宋体"/>
          <w:b/>
          <w:bCs/>
          <w:sz w:val="24"/>
          <w:szCs w:val="24"/>
        </w:rPr>
        <w:t>7.</w:t>
      </w:r>
      <w:r w:rsidR="00B93490" w:rsidRPr="008D00C7">
        <w:rPr>
          <w:rFonts w:ascii="宋体" w:eastAsia="宋体" w:hAnsi="宋体" w:hint="eastAsia"/>
          <w:b/>
          <w:bCs/>
          <w:sz w:val="24"/>
          <w:szCs w:val="24"/>
        </w:rPr>
        <w:t>5线路敷设</w:t>
      </w:r>
    </w:p>
    <w:p w14:paraId="4D55ADB1"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室内配电干线，支干线用YJV交联绝缘电缆、支线采用BV绝缘导线，户内照明及插座回路支线选用BV-2.5 mm2导线穿管暗敷。</w:t>
      </w:r>
    </w:p>
    <w:p w14:paraId="6AF53025" w14:textId="770560C6" w:rsidR="00B93490" w:rsidRPr="008D00C7" w:rsidRDefault="008D00C7" w:rsidP="008D00C7">
      <w:pPr>
        <w:spacing w:line="360" w:lineRule="auto"/>
        <w:rPr>
          <w:rFonts w:ascii="宋体" w:eastAsia="宋体" w:hAnsi="宋体" w:hint="eastAsia"/>
          <w:b/>
          <w:bCs/>
          <w:sz w:val="24"/>
          <w:szCs w:val="24"/>
        </w:rPr>
      </w:pPr>
      <w:r w:rsidRPr="008D00C7">
        <w:rPr>
          <w:rFonts w:ascii="宋体" w:eastAsia="宋体" w:hAnsi="宋体"/>
          <w:b/>
          <w:bCs/>
          <w:sz w:val="24"/>
          <w:szCs w:val="24"/>
        </w:rPr>
        <w:t>7.</w:t>
      </w:r>
      <w:r w:rsidR="00B93490" w:rsidRPr="008D00C7">
        <w:rPr>
          <w:rFonts w:ascii="宋体" w:eastAsia="宋体" w:hAnsi="宋体" w:hint="eastAsia"/>
          <w:b/>
          <w:bCs/>
          <w:sz w:val="24"/>
          <w:szCs w:val="24"/>
        </w:rPr>
        <w:t>6.建筑物的防雷与接地</w:t>
      </w:r>
    </w:p>
    <w:p w14:paraId="5B44FB45" w14:textId="56E5AC1E"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7.</w:t>
      </w:r>
      <w:r w:rsidR="008D00C7">
        <w:rPr>
          <w:rFonts w:ascii="宋体" w:eastAsia="宋体" w:hAnsi="宋体"/>
          <w:sz w:val="24"/>
          <w:szCs w:val="24"/>
        </w:rPr>
        <w:t>6.</w:t>
      </w:r>
      <w:r w:rsidRPr="00050A67">
        <w:rPr>
          <w:rFonts w:ascii="宋体" w:eastAsia="宋体" w:hAnsi="宋体" w:hint="eastAsia"/>
          <w:sz w:val="24"/>
          <w:szCs w:val="24"/>
        </w:rPr>
        <w:t>1防雷：</w:t>
      </w:r>
    </w:p>
    <w:p w14:paraId="00685B6A"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防雷等级：本工程多层建筑按二类防雷建筑设计。屋面设置针带结合的避雷网格防直击雷；各建筑利用柱子内钢筋作接地引下线、基础内钢筋作共用接地体，构成整个防雷接地系统，接地电阻不大于1</w:t>
      </w:r>
      <w:r w:rsidRPr="00050A67">
        <w:rPr>
          <w:rFonts w:ascii="宋体" w:eastAsia="宋体" w:hAnsi="宋体" w:hint="eastAsia"/>
          <w:sz w:val="24"/>
          <w:szCs w:val="24"/>
        </w:rPr>
        <w:sym w:font="Symbol" w:char="F057"/>
      </w:r>
      <w:r w:rsidRPr="00050A67">
        <w:rPr>
          <w:rFonts w:ascii="宋体" w:eastAsia="宋体" w:hAnsi="宋体" w:hint="eastAsia"/>
          <w:sz w:val="24"/>
          <w:szCs w:val="24"/>
        </w:rPr>
        <w:t>。强弱电系统及顶层设备配电设施均设置防止雷电波感应的浪涌保护装置，以防雷电波入侵。</w:t>
      </w:r>
    </w:p>
    <w:p w14:paraId="3E87A0B7" w14:textId="2628D68B"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7.</w:t>
      </w:r>
      <w:r w:rsidR="008D00C7">
        <w:rPr>
          <w:rFonts w:ascii="宋体" w:eastAsia="宋体" w:hAnsi="宋体"/>
          <w:sz w:val="24"/>
          <w:szCs w:val="24"/>
        </w:rPr>
        <w:t>6.</w:t>
      </w:r>
      <w:r w:rsidRPr="00050A67">
        <w:rPr>
          <w:rFonts w:ascii="宋体" w:eastAsia="宋体" w:hAnsi="宋体" w:hint="eastAsia"/>
          <w:sz w:val="24"/>
          <w:szCs w:val="24"/>
        </w:rPr>
        <w:t>2接地和安全</w:t>
      </w:r>
    </w:p>
    <w:p w14:paraId="742D5097"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低压配电采用TN-C- S接地系统，系统在变电所接地后N线与PE线即行分开，防雷接地、保护接地及弱电信息系统采用共用接地系统，利用基础地梁</w:t>
      </w:r>
      <w:r w:rsidRPr="00050A67">
        <w:rPr>
          <w:rFonts w:ascii="宋体" w:eastAsia="宋体" w:hAnsi="宋体" w:hint="eastAsia"/>
          <w:sz w:val="24"/>
          <w:szCs w:val="24"/>
        </w:rPr>
        <w:lastRenderedPageBreak/>
        <w:t>作自然接地体，接地电阻≤1Ω。各建筑设置总等电位联结，各类金属支架、管道管线等，均作等电位联结，卫生间设置局部等电位联结。各建筑总电源进线均设防止火灾的接地故障保护，插座回路均设置漏电保护开关。</w:t>
      </w:r>
    </w:p>
    <w:p w14:paraId="09799D5B" w14:textId="07BB5E2D" w:rsidR="00B93490" w:rsidRPr="008D00C7" w:rsidRDefault="00B93490" w:rsidP="008D00C7">
      <w:pPr>
        <w:spacing w:line="360" w:lineRule="auto"/>
        <w:rPr>
          <w:rFonts w:ascii="宋体" w:eastAsia="宋体" w:hAnsi="宋体" w:hint="eastAsia"/>
          <w:b/>
          <w:bCs/>
          <w:sz w:val="24"/>
          <w:szCs w:val="24"/>
        </w:rPr>
      </w:pPr>
      <w:r w:rsidRPr="008D00C7">
        <w:rPr>
          <w:rFonts w:ascii="宋体" w:eastAsia="宋体" w:hAnsi="宋体" w:hint="eastAsia"/>
          <w:b/>
          <w:bCs/>
          <w:sz w:val="24"/>
          <w:szCs w:val="24"/>
        </w:rPr>
        <w:t>7.</w:t>
      </w:r>
      <w:r w:rsidR="008D00C7" w:rsidRPr="008D00C7">
        <w:rPr>
          <w:rFonts w:ascii="宋体" w:eastAsia="宋体" w:hAnsi="宋体"/>
          <w:b/>
          <w:bCs/>
          <w:sz w:val="24"/>
          <w:szCs w:val="24"/>
        </w:rPr>
        <w:t>7</w:t>
      </w:r>
      <w:r w:rsidRPr="008D00C7">
        <w:rPr>
          <w:rFonts w:ascii="宋体" w:eastAsia="宋体" w:hAnsi="宋体" w:hint="eastAsia"/>
          <w:b/>
          <w:bCs/>
          <w:sz w:val="24"/>
          <w:szCs w:val="24"/>
        </w:rPr>
        <w:t>智能化设计</w:t>
      </w:r>
    </w:p>
    <w:p w14:paraId="19966023" w14:textId="5F25ED0F"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7.</w:t>
      </w:r>
      <w:r w:rsidR="008D00C7">
        <w:rPr>
          <w:rFonts w:ascii="宋体" w:eastAsia="宋体" w:hAnsi="宋体"/>
          <w:sz w:val="24"/>
          <w:szCs w:val="24"/>
        </w:rPr>
        <w:t>7.</w:t>
      </w:r>
      <w:r w:rsidRPr="00050A67">
        <w:rPr>
          <w:rFonts w:ascii="宋体" w:eastAsia="宋体" w:hAnsi="宋体" w:hint="eastAsia"/>
          <w:sz w:val="24"/>
          <w:szCs w:val="24"/>
        </w:rPr>
        <w:t>1设计依据</w:t>
      </w:r>
    </w:p>
    <w:p w14:paraId="38F2DB68"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本设计依据以下有关规定、规范：</w:t>
      </w:r>
    </w:p>
    <w:p w14:paraId="57D80390"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1）GB/T50314-2006 智能建筑设计标准</w:t>
      </w:r>
    </w:p>
    <w:p w14:paraId="150DA2E7"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2）GB50339-2003 智能建筑工程质量验收规范</w:t>
      </w:r>
    </w:p>
    <w:p w14:paraId="472F277F"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3）GB50348-2004 安全防范工程技术规范</w:t>
      </w:r>
    </w:p>
    <w:p w14:paraId="770B1A16"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4) GB/T50311-2007 综合布线系统工程设计规范</w:t>
      </w:r>
    </w:p>
    <w:p w14:paraId="7FF4ADDB"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5）GB50343-2004 建筑物电子信息系统防雷技术规范</w:t>
      </w:r>
    </w:p>
    <w:p w14:paraId="68BEB21A" w14:textId="39EF5A2B"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7.</w:t>
      </w:r>
      <w:r w:rsidR="008D00C7">
        <w:rPr>
          <w:rFonts w:ascii="宋体" w:eastAsia="宋体" w:hAnsi="宋体"/>
          <w:sz w:val="24"/>
          <w:szCs w:val="24"/>
        </w:rPr>
        <w:t>7.</w:t>
      </w:r>
      <w:r w:rsidRPr="00050A67">
        <w:rPr>
          <w:rFonts w:ascii="宋体" w:eastAsia="宋体" w:hAnsi="宋体" w:hint="eastAsia"/>
          <w:sz w:val="24"/>
          <w:szCs w:val="24"/>
        </w:rPr>
        <w:t>2 .设计范围</w:t>
      </w:r>
    </w:p>
    <w:p w14:paraId="76C37FE9"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根据设计范围如下：</w:t>
      </w:r>
    </w:p>
    <w:p w14:paraId="450F0023"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1）智能空调系统</w:t>
      </w:r>
    </w:p>
    <w:p w14:paraId="6B85072B"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hint="eastAsia"/>
          <w:sz w:val="24"/>
          <w:szCs w:val="24"/>
        </w:rPr>
        <w:t>2）广播音响系统</w:t>
      </w:r>
    </w:p>
    <w:p w14:paraId="6970EF42" w14:textId="77777777" w:rsidR="00B93490" w:rsidRPr="00050A67" w:rsidRDefault="00B93490" w:rsidP="008D00C7">
      <w:pPr>
        <w:spacing w:line="360" w:lineRule="auto"/>
        <w:ind w:leftChars="250" w:left="525"/>
        <w:rPr>
          <w:rFonts w:ascii="宋体" w:eastAsia="宋体" w:hAnsi="宋体" w:hint="eastAsia"/>
          <w:sz w:val="24"/>
          <w:szCs w:val="24"/>
        </w:rPr>
      </w:pPr>
      <w:r w:rsidRPr="00050A67">
        <w:rPr>
          <w:rFonts w:ascii="宋体" w:eastAsia="宋体" w:hAnsi="宋体" w:hint="eastAsia"/>
          <w:sz w:val="24"/>
          <w:szCs w:val="24"/>
        </w:rPr>
        <w:t>3）自动通风系统</w:t>
      </w:r>
      <w:r w:rsidRPr="00050A67">
        <w:rPr>
          <w:rFonts w:ascii="宋体" w:eastAsia="宋体" w:hAnsi="宋体" w:hint="eastAsia"/>
          <w:sz w:val="24"/>
          <w:szCs w:val="24"/>
        </w:rPr>
        <w:br/>
        <w:t>4）有线监控系统</w:t>
      </w:r>
    </w:p>
    <w:p w14:paraId="2C97B3E2" w14:textId="592BEFFE" w:rsidR="00B93490" w:rsidRPr="008D00C7" w:rsidRDefault="008D00C7" w:rsidP="008D00C7">
      <w:pPr>
        <w:spacing w:line="360" w:lineRule="auto"/>
        <w:rPr>
          <w:rFonts w:ascii="宋体" w:eastAsia="宋体" w:hAnsi="宋体" w:hint="eastAsia"/>
          <w:b/>
          <w:bCs/>
          <w:sz w:val="24"/>
          <w:szCs w:val="24"/>
        </w:rPr>
      </w:pPr>
      <w:r w:rsidRPr="008D00C7">
        <w:rPr>
          <w:rFonts w:ascii="宋体" w:eastAsia="宋体" w:hAnsi="宋体"/>
          <w:b/>
          <w:bCs/>
          <w:sz w:val="24"/>
          <w:szCs w:val="24"/>
        </w:rPr>
        <w:t>7.</w:t>
      </w:r>
      <w:r w:rsidR="00B93490" w:rsidRPr="008D00C7">
        <w:rPr>
          <w:rFonts w:ascii="宋体" w:eastAsia="宋体" w:hAnsi="宋体"/>
          <w:b/>
          <w:bCs/>
          <w:sz w:val="24"/>
          <w:szCs w:val="24"/>
        </w:rPr>
        <w:t>8</w:t>
      </w:r>
      <w:r w:rsidR="00B93490" w:rsidRPr="008D00C7">
        <w:rPr>
          <w:rFonts w:ascii="宋体" w:eastAsia="宋体" w:hAnsi="宋体" w:hint="eastAsia"/>
          <w:b/>
          <w:bCs/>
          <w:sz w:val="24"/>
          <w:szCs w:val="24"/>
        </w:rPr>
        <w:t xml:space="preserve"> 电气节能</w:t>
      </w:r>
    </w:p>
    <w:p w14:paraId="52DCB713" w14:textId="77777777" w:rsidR="00B93490"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sz w:val="24"/>
          <w:szCs w:val="24"/>
        </w:rPr>
        <w:t>8</w:t>
      </w:r>
      <w:r w:rsidRPr="00050A67">
        <w:rPr>
          <w:rFonts w:ascii="宋体" w:eastAsia="宋体" w:hAnsi="宋体" w:hint="eastAsia"/>
          <w:sz w:val="24"/>
          <w:szCs w:val="24"/>
        </w:rPr>
        <w:t>.1 在变电所设置集中低压静电电容器自动补偿，补偿后的功率因数大于等于0.9，减少无功损耗，提高用电质量，节约电能。</w:t>
      </w:r>
    </w:p>
    <w:p w14:paraId="1E618B69" w14:textId="5B86F586" w:rsidR="00755754" w:rsidRPr="00050A67" w:rsidRDefault="00B93490" w:rsidP="00050A67">
      <w:pPr>
        <w:spacing w:line="360" w:lineRule="auto"/>
        <w:ind w:firstLineChars="250" w:firstLine="600"/>
        <w:rPr>
          <w:rFonts w:ascii="宋体" w:eastAsia="宋体" w:hAnsi="宋体" w:hint="eastAsia"/>
          <w:sz w:val="24"/>
          <w:szCs w:val="24"/>
        </w:rPr>
      </w:pPr>
      <w:r w:rsidRPr="00050A67">
        <w:rPr>
          <w:rFonts w:ascii="宋体" w:eastAsia="宋体" w:hAnsi="宋体"/>
          <w:sz w:val="24"/>
          <w:szCs w:val="24"/>
        </w:rPr>
        <w:t>8</w:t>
      </w:r>
      <w:r w:rsidRPr="00050A67">
        <w:rPr>
          <w:rFonts w:ascii="宋体" w:eastAsia="宋体" w:hAnsi="宋体" w:hint="eastAsia"/>
          <w:sz w:val="24"/>
          <w:szCs w:val="24"/>
        </w:rPr>
        <w:t>.2 照明设计中，灯具选用高效节能型的荧光灯，灯具控制方式采用相对集中、分散控制相结合方式控制。室外照明采用与环境相协调的庭院灯，草坪灯，采用定时和光控，在保安值班室集中控制。</w:t>
      </w:r>
    </w:p>
    <w:sectPr w:rsidR="00755754" w:rsidRPr="00050A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956B" w14:textId="77777777" w:rsidR="004F64A0" w:rsidRDefault="004F64A0" w:rsidP="006450F2">
      <w:pPr>
        <w:spacing w:line="240" w:lineRule="auto"/>
      </w:pPr>
      <w:r>
        <w:separator/>
      </w:r>
    </w:p>
  </w:endnote>
  <w:endnote w:type="continuationSeparator" w:id="0">
    <w:p w14:paraId="09BC3609" w14:textId="77777777" w:rsidR="004F64A0" w:rsidRDefault="004F64A0" w:rsidP="006450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0172D" w14:textId="77777777" w:rsidR="004F64A0" w:rsidRDefault="004F64A0" w:rsidP="006450F2">
      <w:pPr>
        <w:spacing w:line="240" w:lineRule="auto"/>
      </w:pPr>
      <w:r>
        <w:separator/>
      </w:r>
    </w:p>
  </w:footnote>
  <w:footnote w:type="continuationSeparator" w:id="0">
    <w:p w14:paraId="59F2E26C" w14:textId="77777777" w:rsidR="004F64A0" w:rsidRDefault="004F64A0" w:rsidP="006450F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D65EF"/>
    <w:multiLevelType w:val="hybridMultilevel"/>
    <w:tmpl w:val="D9589036"/>
    <w:lvl w:ilvl="0" w:tplc="4784F858">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90E1AED"/>
    <w:multiLevelType w:val="hybridMultilevel"/>
    <w:tmpl w:val="416AD722"/>
    <w:lvl w:ilvl="0" w:tplc="C2B0802A">
      <w:start w:val="1"/>
      <w:numFmt w:val="japaneseCounting"/>
      <w:lvlText w:val="第%1章"/>
      <w:lvlJc w:val="left"/>
      <w:pPr>
        <w:ind w:left="970" w:hanging="9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60213387">
    <w:abstractNumId w:val="0"/>
  </w:num>
  <w:num w:numId="2" w16cid:durableId="1218198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DB"/>
    <w:rsid w:val="00005DAD"/>
    <w:rsid w:val="00050A67"/>
    <w:rsid w:val="001620DB"/>
    <w:rsid w:val="002470EA"/>
    <w:rsid w:val="002B39C8"/>
    <w:rsid w:val="003B4357"/>
    <w:rsid w:val="004F64A0"/>
    <w:rsid w:val="00603500"/>
    <w:rsid w:val="006450F2"/>
    <w:rsid w:val="00755754"/>
    <w:rsid w:val="008617ED"/>
    <w:rsid w:val="008D00C7"/>
    <w:rsid w:val="00A623D8"/>
    <w:rsid w:val="00AC5A7D"/>
    <w:rsid w:val="00B9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B2D30"/>
  <w15:chartTrackingRefBased/>
  <w15:docId w15:val="{34B9B427-8767-4E64-BFE9-CAA2D7F6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line="32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B93490"/>
    <w:pPr>
      <w:spacing w:before="480" w:line="276" w:lineRule="auto"/>
      <w:outlineLvl w:val="0"/>
    </w:pPr>
    <w:rPr>
      <w:rFonts w:ascii="Cambria" w:eastAsia="宋体" w:hAnsi="Cambria" w:cs="Times New Roman"/>
      <w:b/>
      <w:bCs/>
      <w:sz w:val="28"/>
      <w:szCs w:val="28"/>
      <w:lang w:eastAsia="en-US" w:bidi="en-US"/>
    </w:rPr>
  </w:style>
  <w:style w:type="paragraph" w:styleId="2">
    <w:name w:val="heading 2"/>
    <w:basedOn w:val="a"/>
    <w:next w:val="a"/>
    <w:link w:val="20"/>
    <w:qFormat/>
    <w:rsid w:val="00B93490"/>
    <w:pPr>
      <w:spacing w:before="200" w:line="276" w:lineRule="auto"/>
      <w:outlineLvl w:val="1"/>
    </w:pPr>
    <w:rPr>
      <w:rFonts w:ascii="Cambria" w:eastAsia="宋体" w:hAnsi="Cambria" w:cs="Times New Roman"/>
      <w:b/>
      <w:bCs/>
      <w:sz w:val="26"/>
      <w:szCs w:val="26"/>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50F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6450F2"/>
    <w:rPr>
      <w:sz w:val="18"/>
      <w:szCs w:val="18"/>
    </w:rPr>
  </w:style>
  <w:style w:type="paragraph" w:styleId="a5">
    <w:name w:val="footer"/>
    <w:basedOn w:val="a"/>
    <w:link w:val="a6"/>
    <w:uiPriority w:val="99"/>
    <w:unhideWhenUsed/>
    <w:rsid w:val="006450F2"/>
    <w:pPr>
      <w:tabs>
        <w:tab w:val="center" w:pos="4153"/>
        <w:tab w:val="right" w:pos="8306"/>
      </w:tabs>
      <w:snapToGrid w:val="0"/>
      <w:spacing w:line="240" w:lineRule="atLeast"/>
    </w:pPr>
    <w:rPr>
      <w:sz w:val="18"/>
      <w:szCs w:val="18"/>
    </w:rPr>
  </w:style>
  <w:style w:type="character" w:customStyle="1" w:styleId="a6">
    <w:name w:val="页脚 字符"/>
    <w:basedOn w:val="a0"/>
    <w:link w:val="a5"/>
    <w:uiPriority w:val="99"/>
    <w:rsid w:val="006450F2"/>
    <w:rPr>
      <w:sz w:val="18"/>
      <w:szCs w:val="18"/>
    </w:rPr>
  </w:style>
  <w:style w:type="character" w:styleId="a7">
    <w:name w:val="Emphasis"/>
    <w:basedOn w:val="a0"/>
    <w:uiPriority w:val="20"/>
    <w:qFormat/>
    <w:rsid w:val="006450F2"/>
    <w:rPr>
      <w:i/>
      <w:iCs/>
    </w:rPr>
  </w:style>
  <w:style w:type="paragraph" w:styleId="a8">
    <w:name w:val="List Paragraph"/>
    <w:basedOn w:val="a"/>
    <w:uiPriority w:val="34"/>
    <w:qFormat/>
    <w:rsid w:val="00755754"/>
    <w:pPr>
      <w:ind w:firstLineChars="200" w:firstLine="420"/>
    </w:pPr>
  </w:style>
  <w:style w:type="character" w:customStyle="1" w:styleId="10">
    <w:name w:val="标题 1 字符"/>
    <w:basedOn w:val="a0"/>
    <w:link w:val="1"/>
    <w:rsid w:val="00B93490"/>
    <w:rPr>
      <w:rFonts w:ascii="Cambria" w:eastAsia="宋体" w:hAnsi="Cambria" w:cs="Times New Roman"/>
      <w:b/>
      <w:bCs/>
      <w:sz w:val="28"/>
      <w:szCs w:val="28"/>
      <w:lang w:eastAsia="en-US" w:bidi="en-US"/>
    </w:rPr>
  </w:style>
  <w:style w:type="character" w:customStyle="1" w:styleId="20">
    <w:name w:val="标题 2 字符"/>
    <w:basedOn w:val="a0"/>
    <w:link w:val="2"/>
    <w:rsid w:val="00B93490"/>
    <w:rPr>
      <w:rFonts w:ascii="Cambria" w:eastAsia="宋体" w:hAnsi="Cambria" w:cs="Times New Roman"/>
      <w:b/>
      <w:bCs/>
      <w:sz w:val="26"/>
      <w:szCs w:val="26"/>
      <w:lang w:eastAsia="en-US" w:bidi="en-US"/>
    </w:rPr>
  </w:style>
  <w:style w:type="paragraph" w:styleId="a9">
    <w:name w:val="Plain Text"/>
    <w:basedOn w:val="a"/>
    <w:link w:val="aa"/>
    <w:rsid w:val="00B93490"/>
    <w:pPr>
      <w:spacing w:after="200" w:line="276" w:lineRule="auto"/>
    </w:pPr>
    <w:rPr>
      <w:rFonts w:ascii="宋体" w:eastAsia="宋体" w:hAnsi="Courier New" w:cs="Courier New"/>
      <w:kern w:val="0"/>
      <w:sz w:val="22"/>
      <w:szCs w:val="21"/>
      <w:lang w:eastAsia="en-US" w:bidi="en-US"/>
    </w:rPr>
  </w:style>
  <w:style w:type="character" w:customStyle="1" w:styleId="aa">
    <w:name w:val="纯文本 字符"/>
    <w:basedOn w:val="a0"/>
    <w:link w:val="a9"/>
    <w:rsid w:val="00B93490"/>
    <w:rPr>
      <w:rFonts w:ascii="宋体" w:eastAsia="宋体" w:hAnsi="Courier New" w:cs="Courier New"/>
      <w:kern w:val="0"/>
      <w:sz w:val="22"/>
      <w:szCs w:val="21"/>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10</Pages>
  <Words>974</Words>
  <Characters>5557</Characters>
  <Application>Microsoft Office Word</Application>
  <DocSecurity>0</DocSecurity>
  <Lines>46</Lines>
  <Paragraphs>13</Paragraphs>
  <ScaleCrop>false</ScaleCrop>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刘采欣</dc:creator>
  <cp:keywords/>
  <dc:description/>
  <cp:lastModifiedBy>刘采欣</cp:lastModifiedBy>
  <cp:revision>4</cp:revision>
  <dcterms:created xsi:type="dcterms:W3CDTF">2023-01-03T02:38:00Z</dcterms:created>
  <dcterms:modified xsi:type="dcterms:W3CDTF">2023-01-03T04:35:00Z</dcterms:modified>
</cp:coreProperties>
</file>