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1"/>
          <w:numId w:val="1"/>
        </w:numPr>
      </w:pPr>
      <w:bookmarkStart w:id="0" w:name="_Toc128596354"/>
      <w:r>
        <w:t>构件空气声隔声</w:t>
      </w:r>
      <w:bookmarkEnd w:id="0"/>
    </w:p>
    <w:p>
      <w:pPr>
        <w:pStyle w:val="3"/>
        <w:ind w:firstLine="420" w:firstLineChars="200"/>
      </w:pPr>
      <w:r>
        <w:rPr>
          <w:rFonts w:hint="eastAsia"/>
        </w:rPr>
        <w:t>构件隔声</w:t>
      </w:r>
      <w:r>
        <w:t>性能</w:t>
      </w:r>
      <w:r>
        <w:rPr>
          <w:rFonts w:hint="eastAsia"/>
        </w:rPr>
        <w:t>与</w:t>
      </w:r>
      <w:r>
        <w:t>构造</w:t>
      </w:r>
      <w:r>
        <w:rPr>
          <w:rFonts w:hint="eastAsia"/>
        </w:rPr>
        <w:t>的材料和做法</w:t>
      </w:r>
      <w:r>
        <w:t>息息相关。</w:t>
      </w:r>
      <w:r>
        <w:rPr>
          <w:rFonts w:hint="eastAsia"/>
        </w:rPr>
        <w:t>构件采用的工程材料和构造做法决定了构件的面密度，而面密度直接</w:t>
      </w:r>
      <w:r>
        <w:t>决定</w:t>
      </w:r>
      <w:r>
        <w:rPr>
          <w:rFonts w:hint="eastAsia"/>
        </w:rPr>
        <w:t>了墙体的</w:t>
      </w:r>
      <w:r>
        <w:t>隔声性能</w:t>
      </w:r>
      <w:r>
        <w:rPr>
          <w:rFonts w:hint="eastAsia"/>
        </w:rPr>
        <w:t>。对于轻质隔声墙板来说，虽然面密度较低，但构造中空气层、填充的吸声材料等因素都会使得构件隔声性能大大提升。</w:t>
      </w:r>
    </w:p>
    <w:p>
      <w:pPr>
        <w:jc w:val="center"/>
        <w:rPr>
          <w:kern w:val="2"/>
          <w:szCs w:val="21"/>
          <w:lang w:val="en-US"/>
        </w:rPr>
      </w:pPr>
      <w:r>
        <w:rPr>
          <w:rFonts w:hint="eastAsia"/>
          <w:kern w:val="2"/>
          <w:szCs w:val="21"/>
          <w:lang w:val="en-US"/>
        </w:rPr>
        <w:t>表</w:t>
      </w:r>
      <w:r>
        <w:rPr>
          <w:kern w:val="2"/>
          <w:szCs w:val="21"/>
          <w:lang w:val="en-US"/>
        </w:rPr>
        <w:t>5.1</w:t>
      </w:r>
      <w:r>
        <w:rPr>
          <w:rFonts w:hint="eastAsia"/>
          <w:kern w:val="2"/>
          <w:szCs w:val="21"/>
          <w:lang w:val="en-US"/>
        </w:rPr>
        <w:t>最不利房间围护结构材料清单</w:t>
      </w:r>
    </w:p>
    <w:tbl>
      <w:tblPr>
        <w:tblStyle w:val="4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3538"/>
        <w:gridCol w:w="990"/>
        <w:gridCol w:w="990"/>
        <w:gridCol w:w="990"/>
        <w:gridCol w:w="11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</w:p>
        </w:tc>
        <w:tc>
          <w:tcPr>
            <w:tcW w:w="3537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厚度(mm)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密度(kg/m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面密度(kg/m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26" w:type="dxa"/>
            <w:shd w:val="clear" w:color="auto" w:fill="E6E6E6"/>
            <w:vAlign w:val="center"/>
          </w:tcPr>
          <w:p>
            <w:pPr>
              <w:jc w:val="center"/>
            </w:pPr>
            <w:r>
              <w:t>总面密度(kg/m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外墙</w:t>
            </w:r>
          </w:p>
        </w:tc>
        <w:tc>
          <w:tcPr>
            <w:tcW w:w="3537" w:type="dxa"/>
            <w:vAlign w:val="center"/>
          </w:tcPr>
          <w:p>
            <w:r>
              <w:t>水泥砂浆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</w:pPr>
            <w:r>
              <w:t>293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3537" w:type="dxa"/>
            <w:vAlign w:val="center"/>
          </w:tcPr>
          <w:p>
            <w:r>
              <w:t>重砂浆砌筑26、33及36孔粘土空心砌体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175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1400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245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3537" w:type="dxa"/>
            <w:vAlign w:val="center"/>
          </w:tcPr>
          <w:p>
            <w:r>
              <w:t>沥青、乳化沥青膨胀珍珠岩(ρ=300)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3537" w:type="dxa"/>
            <w:vAlign w:val="center"/>
          </w:tcPr>
          <w:p>
            <w:r>
              <w:t>水泥砂浆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屋顶</w:t>
            </w:r>
          </w:p>
        </w:tc>
        <w:tc>
          <w:tcPr>
            <w:tcW w:w="3537" w:type="dxa"/>
            <w:vAlign w:val="center"/>
          </w:tcPr>
          <w:p>
            <w:r>
              <w:t>泡沫玻璃保温板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140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</w:pPr>
            <w:r>
              <w:t>268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3537" w:type="dxa"/>
            <w:vAlign w:val="center"/>
          </w:tcPr>
          <w:p>
            <w:r>
              <w:t>无机保温干粉砂浆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3537" w:type="dxa"/>
            <w:vAlign w:val="center"/>
          </w:tcPr>
          <w:p>
            <w:r>
              <w:t>XPS版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3537" w:type="dxa"/>
            <w:vAlign w:val="center"/>
          </w:tcPr>
          <w:p>
            <w:r>
              <w:t>沥青、乳化沥青膨胀珍珠岩(ρ=300)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3537" w:type="dxa"/>
            <w:vAlign w:val="center"/>
          </w:tcPr>
          <w:p>
            <w:r>
              <w:t>油毡、油纸、油毡纸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3537" w:type="dxa"/>
            <w:vAlign w:val="center"/>
          </w:tcPr>
          <w:p>
            <w:r>
              <w:t>聚苯颗粒保温砂浆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230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3537" w:type="dxa"/>
            <w:vAlign w:val="center"/>
          </w:tcPr>
          <w:p>
            <w:r>
              <w:t>钢筋混凝土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3537" w:type="dxa"/>
            <w:vAlign w:val="center"/>
          </w:tcPr>
          <w:p>
            <w:r>
              <w:t>水泥砂浆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挑空楼板</w:t>
            </w:r>
          </w:p>
        </w:tc>
        <w:tc>
          <w:tcPr>
            <w:tcW w:w="3537" w:type="dxa"/>
            <w:vAlign w:val="center"/>
          </w:tcPr>
          <w:p>
            <w:r>
              <w:t>水泥砂浆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</w:pPr>
            <w:r>
              <w:t>409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3537" w:type="dxa"/>
            <w:vAlign w:val="center"/>
          </w:tcPr>
          <w:p>
            <w:r>
              <w:t>钢筋混凝土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120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3537" w:type="dxa"/>
            <w:vAlign w:val="center"/>
          </w:tcPr>
          <w:p>
            <w:r>
              <w:t>水泥砂浆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353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3537" w:type="dxa"/>
            <w:vAlign w:val="center"/>
          </w:tcPr>
          <w:p>
            <w:r>
              <w:t>水泥砂浆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lang w:val="en-US"/>
        </w:rPr>
      </w:pPr>
      <w:bookmarkStart w:id="1" w:name="最不利房间围护结构材料清单"/>
      <w:bookmarkEnd w:id="1"/>
    </w:p>
    <w:p>
      <w:pPr>
        <w:pStyle w:val="3"/>
        <w:numPr>
          <w:ilvl w:val="0"/>
          <w:numId w:val="2"/>
        </w:numPr>
        <w:rPr>
          <w:color w:val="FF0000"/>
        </w:rPr>
      </w:pPr>
      <w:r>
        <w:rPr>
          <w:rFonts w:hint="eastAsia"/>
          <w:lang w:val="en-US"/>
        </w:rPr>
        <w:t>符合质量定律的构件，可按面密度m计算各频率下的空气声隔声量：</w:t>
      </w:r>
    </w:p>
    <w:p>
      <w:pPr>
        <w:pStyle w:val="3"/>
        <w:ind w:left="840"/>
      </w:pPr>
      <m:oMathPara>
        <m:oMath>
          <m:r>
            <m:rPr/>
            <w:rPr>
              <w:rFonts w:ascii="Cambria Math" w:hAnsi="Cambria Math"/>
            </w:rPr>
            <m:t>R=</m:t>
          </m:r>
          <w:bookmarkStart w:id="2" w:name="公式A1"/>
          <m:r>
            <m:rPr>
              <m:sty m:val="p"/>
            </m:rPr>
            <m:t>23</m:t>
          </m:r>
          <w:bookmarkEnd w:id="2"/>
          <m:r>
            <m:rPr/>
            <w:rPr>
              <w:rFonts w:ascii="Cambria Math" w:hAnsi="Cambria Math"/>
            </w:rPr>
            <m:t>lgm+</m:t>
          </m:r>
          <w:bookmarkStart w:id="3" w:name="公式B1"/>
          <m:r>
            <m:rPr>
              <m:sty m:val="p"/>
            </m:rPr>
            <m:t>11</m:t>
          </m:r>
          <w:bookmarkEnd w:id="3"/>
          <m:r>
            <m:rPr/>
            <w:rPr>
              <w:rFonts w:ascii="Cambria Math" w:hAnsi="Cambria Math"/>
            </w:rPr>
            <m:t>lgf</m:t>
          </m:r>
          <w:bookmarkStart w:id="4" w:name="公式C1"/>
          <m:r>
            <m:rPr>
              <m:sty m:val="p"/>
            </m:rPr>
            <m:t>−41</m:t>
          </m:r>
          <w:bookmarkEnd w:id="4"/>
          <m:r>
            <m:rPr/>
            <w:rPr>
              <w:rFonts w:ascii="Cambria Math" w:hAnsi="Cambria Math"/>
            </w:rPr>
            <m:t xml:space="preserve">            (m≥200kg/</m:t>
          </m:r>
          <m:r>
            <m:rPr/>
            <w:rPr>
              <w:rFonts w:hint="eastAsia" w:ascii="Cambria Math" w:hAnsi="Cambria Math"/>
            </w:rPr>
            <m:t>㎡）</m:t>
          </m:r>
        </m:oMath>
      </m:oMathPara>
    </w:p>
    <w:p>
      <w:pPr>
        <w:pStyle w:val="3"/>
        <w:ind w:left="840"/>
        <w:rPr>
          <w:color w:val="FF0000"/>
        </w:rPr>
      </w:pPr>
      <m:oMathPara>
        <m:oMath>
          <m:r>
            <m:rPr/>
            <w:rPr>
              <w:rFonts w:ascii="Cambria Math" w:hAnsi="Cambria Math"/>
            </w:rPr>
            <m:t>R=</m:t>
          </m:r>
          <w:bookmarkStart w:id="5" w:name="公式A2"/>
          <m:r>
            <m:rPr>
              <m:sty m:val="p"/>
            </m:rPr>
            <m:t>13</m:t>
          </m:r>
          <w:bookmarkEnd w:id="5"/>
          <m:r>
            <m:rPr/>
            <w:rPr>
              <w:rFonts w:ascii="Cambria Math" w:hAnsi="Cambria Math"/>
            </w:rPr>
            <m:t>lgm+</m:t>
          </m:r>
          <w:bookmarkStart w:id="6" w:name="公式B2"/>
          <m:r>
            <m:rPr>
              <m:sty m:val="p"/>
            </m:rPr>
            <m:t>11</m:t>
          </m:r>
          <w:bookmarkEnd w:id="6"/>
          <m:r>
            <m:rPr/>
            <w:rPr>
              <w:rFonts w:ascii="Cambria Math" w:hAnsi="Cambria Math"/>
            </w:rPr>
            <m:t>lgf</m:t>
          </m:r>
          <w:bookmarkStart w:id="7" w:name="公式C2"/>
          <m:r>
            <m:rPr>
              <m:sty m:val="p"/>
            </m:rPr>
            <m:t>−18</m:t>
          </m:r>
          <w:bookmarkEnd w:id="7"/>
          <m:r>
            <m:rPr/>
            <w:rPr>
              <w:rFonts w:ascii="Cambria Math" w:hAnsi="Cambria Math"/>
            </w:rPr>
            <m:t xml:space="preserve">            (m≤200kg/</m:t>
          </m:r>
          <m:r>
            <m:rPr/>
            <w:rPr>
              <w:rFonts w:hint="eastAsia" w:ascii="Cambria Math" w:hAnsi="Cambria Math"/>
            </w:rPr>
            <m:t>㎡）</m:t>
          </m:r>
        </m:oMath>
      </m:oMathPara>
    </w:p>
    <w:p>
      <w:pPr>
        <w:pStyle w:val="3"/>
        <w:ind w:firstLine="840" w:firstLineChars="400"/>
      </w:pPr>
      <w:r>
        <w:rPr>
          <w:rFonts w:hint="eastAsia"/>
        </w:rPr>
        <w:t>式中：</w:t>
      </w:r>
      <w:r>
        <w:rPr>
          <w:sz w:val="20"/>
        </w:rPr>
        <w:t>m</w:t>
      </w:r>
      <w:r>
        <w:t>—</w:t>
      </w:r>
      <w:r>
        <w:rPr>
          <w:rFonts w:hint="eastAsia"/>
        </w:rPr>
        <w:t>构件的面密</w:t>
      </w:r>
      <w:r>
        <w:t>度，kg/m</w:t>
      </w:r>
      <w:r>
        <w:rPr>
          <w:vertAlign w:val="superscript"/>
        </w:rPr>
        <w:t>2</w:t>
      </w:r>
      <w:r>
        <w:t>；</w:t>
      </w:r>
      <w:r>
        <w:rPr>
          <w:rFonts w:ascii="HGB6X_CNKI" w:hAnsi="HGB6X_CNKI" w:eastAsia="HGB6X_CNKI"/>
        </w:rPr>
        <w:t>f</w:t>
      </w:r>
      <w:r>
        <w:t>—</w:t>
      </w:r>
      <w:r>
        <w:rPr>
          <w:rFonts w:hint="eastAsia"/>
        </w:rPr>
        <w:t>入</w:t>
      </w:r>
      <w:r>
        <w:t>射声波的频率，Hz；</w:t>
      </w:r>
    </w:p>
    <w:p>
      <w:pPr>
        <w:pStyle w:val="3"/>
        <w:numPr>
          <w:ilvl w:val="0"/>
          <w:numId w:val="3"/>
        </w:numPr>
        <w:rPr>
          <w:kern w:val="2"/>
          <w:lang w:val="en-US"/>
        </w:rPr>
      </w:pPr>
      <w:r>
        <w:rPr>
          <w:rFonts w:hint="eastAsia"/>
          <w:kern w:val="2"/>
          <w:lang w:val="en-US"/>
        </w:rPr>
        <w:t>可以选择相同或相近的构造隔声数据作为依据，如权威声学专业书籍、国家及地方图集、实验室检测数据等。对于非</w:t>
      </w:r>
      <w:r>
        <w:rPr>
          <w:rFonts w:hint="eastAsia"/>
        </w:rPr>
        <w:t>匀质墙体可以采用此种方法，利用参照构造的隔声数据进行隔声计算。</w:t>
      </w:r>
    </w:p>
    <w:p>
      <w:pPr>
        <w:jc w:val="center"/>
        <w:rPr>
          <w:kern w:val="2"/>
          <w:szCs w:val="21"/>
          <w:lang w:val="en-US"/>
        </w:rPr>
      </w:pPr>
      <w:r>
        <w:rPr>
          <w:rFonts w:hint="eastAsia"/>
          <w:kern w:val="2"/>
          <w:szCs w:val="21"/>
          <w:lang w:val="en-US"/>
        </w:rPr>
        <w:t>表</w:t>
      </w:r>
      <w:r>
        <w:rPr>
          <w:kern w:val="2"/>
          <w:szCs w:val="21"/>
          <w:lang w:val="en-US"/>
        </w:rPr>
        <w:t>5.2</w:t>
      </w:r>
      <w:r>
        <w:rPr>
          <w:rFonts w:hint="eastAsia"/>
          <w:kern w:val="2"/>
          <w:szCs w:val="21"/>
          <w:lang w:val="en-US"/>
        </w:rPr>
        <w:t>墙板空气声隔声量</w:t>
      </w:r>
    </w:p>
    <w:tbl>
      <w:tblPr>
        <w:tblStyle w:val="4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415"/>
        <w:gridCol w:w="1245"/>
        <w:gridCol w:w="1245"/>
        <w:gridCol w:w="1245"/>
        <w:gridCol w:w="1245"/>
        <w:gridCol w:w="12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69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外墙构造1</w:t>
            </w:r>
            <w:r>
              <w:br w:type="textWrapping"/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>
            <w:r>
              <w:t>隔声量(dB)</w:t>
            </w:r>
          </w:p>
        </w:tc>
        <w:tc>
          <w:tcPr>
            <w:tcW w:w="6225" w:type="dxa"/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倍频程中心频率(Hz)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/>
        </w:tc>
        <w:tc>
          <w:tcPr>
            <w:tcW w:w="1415" w:type="dxa"/>
            <w:vMerge w:val="continue"/>
            <w:shd w:val="clear" w:color="auto" w:fill="E6E6E6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125</w:t>
            </w:r>
          </w:p>
        </w:tc>
        <w:tc>
          <w:tcPr>
            <w:tcW w:w="1245" w:type="dxa"/>
            <w:vAlign w:val="center"/>
          </w:tcPr>
          <w:p>
            <w:r>
              <w:t>250</w:t>
            </w:r>
          </w:p>
        </w:tc>
        <w:tc>
          <w:tcPr>
            <w:tcW w:w="1245" w:type="dxa"/>
            <w:vAlign w:val="center"/>
          </w:tcPr>
          <w:p>
            <w:r>
              <w:t>500</w:t>
            </w:r>
          </w:p>
        </w:tc>
        <w:tc>
          <w:tcPr>
            <w:tcW w:w="1245" w:type="dxa"/>
            <w:vAlign w:val="center"/>
          </w:tcPr>
          <w:p>
            <w:r>
              <w:t>1000</w:t>
            </w:r>
          </w:p>
        </w:tc>
        <w:tc>
          <w:tcPr>
            <w:tcW w:w="1245" w:type="dxa"/>
            <w:vAlign w:val="center"/>
          </w:tcPr>
          <w:p>
            <w: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/>
        </w:tc>
        <w:tc>
          <w:tcPr>
            <w:tcW w:w="1415" w:type="dxa"/>
            <w:vMerge w:val="continue"/>
            <w:shd w:val="clear" w:color="auto" w:fill="E6E6E6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38.8</w:t>
            </w:r>
          </w:p>
        </w:tc>
        <w:tc>
          <w:tcPr>
            <w:tcW w:w="1245" w:type="dxa"/>
            <w:vAlign w:val="center"/>
          </w:tcPr>
          <w:p>
            <w:r>
              <w:t>42.1</w:t>
            </w:r>
          </w:p>
        </w:tc>
        <w:tc>
          <w:tcPr>
            <w:tcW w:w="1245" w:type="dxa"/>
            <w:vAlign w:val="center"/>
          </w:tcPr>
          <w:p>
            <w:r>
              <w:t>45.4</w:t>
            </w:r>
          </w:p>
        </w:tc>
        <w:tc>
          <w:tcPr>
            <w:tcW w:w="1245" w:type="dxa"/>
            <w:vAlign w:val="center"/>
          </w:tcPr>
          <w:p>
            <w:r>
              <w:t>48.7</w:t>
            </w:r>
          </w:p>
        </w:tc>
        <w:tc>
          <w:tcPr>
            <w:tcW w:w="1245" w:type="dxa"/>
            <w:vAlign w:val="center"/>
          </w:tcPr>
          <w:p>
            <w:r>
              <w:t>52.0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/>
        </w:tc>
        <w:tc>
          <w:tcPr>
            <w:tcW w:w="1415" w:type="dxa"/>
            <w:shd w:val="clear" w:color="auto" w:fill="E6E6E6"/>
            <w:vAlign w:val="center"/>
          </w:tcPr>
          <w:p>
            <w:r>
              <w:t>面密度(kg/㎡)</w:t>
            </w:r>
          </w:p>
        </w:tc>
        <w:tc>
          <w:tcPr>
            <w:tcW w:w="6225" w:type="dxa"/>
            <w:gridSpan w:val="5"/>
            <w:vAlign w:val="center"/>
          </w:tcPr>
          <w:p>
            <w:r>
              <w:t>293.0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/>
        </w:tc>
        <w:tc>
          <w:tcPr>
            <w:tcW w:w="1415" w:type="dxa"/>
            <w:shd w:val="clear" w:color="auto" w:fill="E6E6E6"/>
            <w:vAlign w:val="center"/>
          </w:tcPr>
          <w:p>
            <w:r>
              <w:t>构造做法</w:t>
            </w:r>
          </w:p>
        </w:tc>
        <w:tc>
          <w:tcPr>
            <w:tcW w:w="6225" w:type="dxa"/>
            <w:gridSpan w:val="5"/>
            <w:vAlign w:val="center"/>
          </w:tcPr>
          <w:p>
            <w:r>
              <w:t>水泥砂浆 10mm＋重砂浆砌筑26、33及36孔粘土空心砌体 175mm＋沥青、乳化沥青膨胀珍珠岩(ρ=300) 40mm＋水泥砂浆 10mm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/>
        </w:tc>
        <w:tc>
          <w:tcPr>
            <w:tcW w:w="1415" w:type="dxa"/>
            <w:shd w:val="clear" w:color="auto" w:fill="E6E6E6"/>
            <w:vAlign w:val="center"/>
          </w:tcPr>
          <w:p>
            <w:r>
              <w:t>参照构造</w:t>
            </w:r>
          </w:p>
        </w:tc>
        <w:tc>
          <w:tcPr>
            <w:tcW w:w="6225" w:type="dxa"/>
            <w:gridSpan w:val="5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/>
        </w:tc>
        <w:tc>
          <w:tcPr>
            <w:tcW w:w="1415" w:type="dxa"/>
            <w:shd w:val="clear" w:color="auto" w:fill="E6E6E6"/>
            <w:vAlign w:val="center"/>
          </w:tcPr>
          <w:p>
            <w:r>
              <w:t>隔声量来源</w:t>
            </w:r>
          </w:p>
        </w:tc>
        <w:tc>
          <w:tcPr>
            <w:tcW w:w="6225" w:type="dxa"/>
            <w:gridSpan w:val="5"/>
            <w:vAlign w:val="center"/>
          </w:tcPr>
          <w:p>
            <w:r>
              <w:t>通过经验公式计算</w:t>
            </w:r>
          </w:p>
        </w:tc>
      </w:tr>
    </w:tbl>
    <w:p>
      <w:pPr>
        <w:jc w:val="center"/>
      </w:pPr>
      <w:bookmarkStart w:id="8" w:name="外墙隔声量"/>
      <w:bookmarkEnd w:id="8"/>
    </w:p>
    <w:p>
      <w:pPr>
        <w:pStyle w:val="3"/>
        <w:ind w:firstLine="420" w:firstLineChars="200"/>
        <w:rPr>
          <w:lang w:val="en-US"/>
        </w:rPr>
      </w:pPr>
      <w:r>
        <w:rPr>
          <w:rFonts w:hint="eastAsia"/>
          <w:lang w:val="en-US"/>
        </w:rPr>
        <w:t>由于门窗</w:t>
      </w:r>
      <w:r>
        <w:rPr>
          <w:lang w:val="en-US"/>
        </w:rPr>
        <w:t>隔声特性复杂</w:t>
      </w:r>
      <w:r>
        <w:rPr>
          <w:rFonts w:hint="eastAsia"/>
          <w:lang w:val="en-US"/>
        </w:rPr>
        <w:t>，不适宜</w:t>
      </w:r>
      <w:r>
        <w:rPr>
          <w:lang w:val="en-US"/>
        </w:rPr>
        <w:t>参照匀质墙体进行公式计算</w:t>
      </w:r>
      <w:r>
        <w:rPr>
          <w:rFonts w:hint="eastAsia"/>
          <w:lang w:val="en-US"/>
        </w:rPr>
        <w:t>各</w:t>
      </w:r>
      <w:r>
        <w:rPr>
          <w:lang w:val="en-US"/>
        </w:rPr>
        <w:t>频率下</w:t>
      </w:r>
      <w:r>
        <w:rPr>
          <w:rFonts w:hint="eastAsia"/>
          <w:lang w:val="en-US"/>
        </w:rPr>
        <w:t>隔声量</w:t>
      </w:r>
      <w:r>
        <w:rPr>
          <w:lang w:val="en-US"/>
        </w:rPr>
        <w:t>，</w:t>
      </w:r>
      <w:r>
        <w:rPr>
          <w:rFonts w:hint="eastAsia"/>
          <w:lang w:val="en-US"/>
        </w:rPr>
        <w:t>本项目参考相关声学资料中相近构造</w:t>
      </w:r>
      <w:r>
        <w:rPr>
          <w:lang w:val="en-US"/>
        </w:rPr>
        <w:t>的</w:t>
      </w:r>
      <w:r>
        <w:rPr>
          <w:rFonts w:hint="eastAsia"/>
          <w:lang w:val="en-US"/>
        </w:rPr>
        <w:t>门窗的空气声隔声量进行</w:t>
      </w:r>
      <w:r>
        <w:rPr>
          <w:lang w:val="en-US"/>
        </w:rPr>
        <w:t>计算</w:t>
      </w:r>
      <w:r>
        <w:rPr>
          <w:rFonts w:hint="eastAsia"/>
          <w:lang w:val="en-US"/>
        </w:rPr>
        <w:t>。详见下表：</w:t>
      </w:r>
    </w:p>
    <w:p>
      <w:pPr>
        <w:jc w:val="center"/>
        <w:rPr>
          <w:kern w:val="2"/>
          <w:szCs w:val="21"/>
          <w:lang w:val="en-US"/>
        </w:rPr>
      </w:pPr>
      <w:r>
        <w:rPr>
          <w:rFonts w:hint="eastAsia"/>
          <w:kern w:val="2"/>
          <w:szCs w:val="21"/>
          <w:lang w:val="en-US"/>
        </w:rPr>
        <w:t>表</w:t>
      </w:r>
      <w:r>
        <w:rPr>
          <w:kern w:val="2"/>
          <w:szCs w:val="21"/>
          <w:lang w:val="en-US"/>
        </w:rPr>
        <w:t>5.3</w:t>
      </w:r>
      <w:r>
        <w:rPr>
          <w:rFonts w:hint="eastAsia"/>
          <w:kern w:val="2"/>
          <w:szCs w:val="21"/>
          <w:lang w:val="en-US"/>
        </w:rPr>
        <w:t>门窗空气声隔声量</w:t>
      </w:r>
    </w:p>
    <w:tbl>
      <w:tblPr>
        <w:tblStyle w:val="4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415"/>
        <w:gridCol w:w="1245"/>
        <w:gridCol w:w="1245"/>
        <w:gridCol w:w="1245"/>
        <w:gridCol w:w="1245"/>
        <w:gridCol w:w="12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外门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>
            <w:r>
              <w:t>隔声量(dB)</w:t>
            </w:r>
          </w:p>
        </w:tc>
        <w:tc>
          <w:tcPr>
            <w:tcW w:w="6225" w:type="dxa"/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倍频程中心频率(Hz)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/>
        </w:tc>
        <w:tc>
          <w:tcPr>
            <w:tcW w:w="1415" w:type="dxa"/>
            <w:vMerge w:val="continue"/>
            <w:shd w:val="clear" w:color="auto" w:fill="E6E6E6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125</w:t>
            </w:r>
          </w:p>
        </w:tc>
        <w:tc>
          <w:tcPr>
            <w:tcW w:w="1245" w:type="dxa"/>
            <w:vAlign w:val="center"/>
          </w:tcPr>
          <w:p>
            <w:r>
              <w:t>250</w:t>
            </w:r>
          </w:p>
        </w:tc>
        <w:tc>
          <w:tcPr>
            <w:tcW w:w="1245" w:type="dxa"/>
            <w:vAlign w:val="center"/>
          </w:tcPr>
          <w:p>
            <w:r>
              <w:t>500</w:t>
            </w:r>
          </w:p>
        </w:tc>
        <w:tc>
          <w:tcPr>
            <w:tcW w:w="1245" w:type="dxa"/>
            <w:vAlign w:val="center"/>
          </w:tcPr>
          <w:p>
            <w:r>
              <w:t>1000</w:t>
            </w:r>
          </w:p>
        </w:tc>
        <w:tc>
          <w:tcPr>
            <w:tcW w:w="1245" w:type="dxa"/>
            <w:vAlign w:val="center"/>
          </w:tcPr>
          <w:p>
            <w: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/>
        </w:tc>
        <w:tc>
          <w:tcPr>
            <w:tcW w:w="1415" w:type="dxa"/>
            <w:vMerge w:val="continue"/>
            <w:shd w:val="clear" w:color="auto" w:fill="E6E6E6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24.0</w:t>
            </w:r>
          </w:p>
        </w:tc>
        <w:tc>
          <w:tcPr>
            <w:tcW w:w="1245" w:type="dxa"/>
            <w:vAlign w:val="center"/>
          </w:tcPr>
          <w:p>
            <w:r>
              <w:t>24.0</w:t>
            </w:r>
          </w:p>
        </w:tc>
        <w:tc>
          <w:tcPr>
            <w:tcW w:w="1245" w:type="dxa"/>
            <w:vAlign w:val="center"/>
          </w:tcPr>
          <w:p>
            <w:r>
              <w:t>31.0</w:t>
            </w:r>
          </w:p>
        </w:tc>
        <w:tc>
          <w:tcPr>
            <w:tcW w:w="1245" w:type="dxa"/>
            <w:vAlign w:val="center"/>
          </w:tcPr>
          <w:p>
            <w:r>
              <w:t>35.0</w:t>
            </w:r>
          </w:p>
        </w:tc>
        <w:tc>
          <w:tcPr>
            <w:tcW w:w="1245" w:type="dxa"/>
            <w:vAlign w:val="center"/>
          </w:tcPr>
          <w:p>
            <w:r>
              <w:t>39.0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/>
        </w:tc>
        <w:tc>
          <w:tcPr>
            <w:tcW w:w="1415" w:type="dxa"/>
            <w:shd w:val="clear" w:color="auto" w:fill="E6E6E6"/>
            <w:vAlign w:val="center"/>
          </w:tcPr>
          <w:p>
            <w:r>
              <w:t>构造</w:t>
            </w:r>
          </w:p>
        </w:tc>
        <w:tc>
          <w:tcPr>
            <w:tcW w:w="6225" w:type="dxa"/>
            <w:gridSpan w:val="5"/>
            <w:vAlign w:val="center"/>
          </w:tcPr>
          <w:p>
            <w:r>
              <w:t>保温门（多功能门）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/>
        </w:tc>
        <w:tc>
          <w:tcPr>
            <w:tcW w:w="1415" w:type="dxa"/>
            <w:shd w:val="clear" w:color="auto" w:fill="E6E6E6"/>
            <w:vAlign w:val="center"/>
          </w:tcPr>
          <w:p>
            <w:r>
              <w:t>参照构造</w:t>
            </w:r>
          </w:p>
        </w:tc>
        <w:tc>
          <w:tcPr>
            <w:tcW w:w="6225" w:type="dxa"/>
            <w:gridSpan w:val="5"/>
            <w:vAlign w:val="center"/>
          </w:tcPr>
          <w:p>
            <w:r>
              <w:t>60厚木门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/>
        </w:tc>
        <w:tc>
          <w:tcPr>
            <w:tcW w:w="1415" w:type="dxa"/>
            <w:shd w:val="clear" w:color="auto" w:fill="E6E6E6"/>
            <w:vAlign w:val="center"/>
          </w:tcPr>
          <w:p>
            <w:r>
              <w:t>隔声量来源</w:t>
            </w:r>
          </w:p>
        </w:tc>
        <w:tc>
          <w:tcPr>
            <w:tcW w:w="6225" w:type="dxa"/>
            <w:gridSpan w:val="5"/>
            <w:vAlign w:val="center"/>
          </w:tcPr>
          <w:p>
            <w:r>
              <w:t>《建筑吸声材料与隔声材料》钟祥璋编著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外窗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>
            <w:r>
              <w:t>隔声量(dB)</w:t>
            </w:r>
          </w:p>
        </w:tc>
        <w:tc>
          <w:tcPr>
            <w:tcW w:w="6225" w:type="dxa"/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倍频程中心频率(Hz)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/>
        </w:tc>
        <w:tc>
          <w:tcPr>
            <w:tcW w:w="1415" w:type="dxa"/>
            <w:vMerge w:val="continue"/>
            <w:shd w:val="clear" w:color="auto" w:fill="E6E6E6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125</w:t>
            </w:r>
          </w:p>
        </w:tc>
        <w:tc>
          <w:tcPr>
            <w:tcW w:w="1245" w:type="dxa"/>
            <w:vAlign w:val="center"/>
          </w:tcPr>
          <w:p>
            <w:r>
              <w:t>250</w:t>
            </w:r>
          </w:p>
        </w:tc>
        <w:tc>
          <w:tcPr>
            <w:tcW w:w="1245" w:type="dxa"/>
            <w:vAlign w:val="center"/>
          </w:tcPr>
          <w:p>
            <w:r>
              <w:t>500</w:t>
            </w:r>
          </w:p>
        </w:tc>
        <w:tc>
          <w:tcPr>
            <w:tcW w:w="1245" w:type="dxa"/>
            <w:vAlign w:val="center"/>
          </w:tcPr>
          <w:p>
            <w:r>
              <w:t>1000</w:t>
            </w:r>
          </w:p>
        </w:tc>
        <w:tc>
          <w:tcPr>
            <w:tcW w:w="1245" w:type="dxa"/>
            <w:vAlign w:val="center"/>
          </w:tcPr>
          <w:p>
            <w: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/>
        </w:tc>
        <w:tc>
          <w:tcPr>
            <w:tcW w:w="1415" w:type="dxa"/>
            <w:vMerge w:val="continue"/>
            <w:shd w:val="clear" w:color="auto" w:fill="E6E6E6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23.0</w:t>
            </w:r>
          </w:p>
        </w:tc>
        <w:tc>
          <w:tcPr>
            <w:tcW w:w="1245" w:type="dxa"/>
            <w:vAlign w:val="center"/>
          </w:tcPr>
          <w:p>
            <w:r>
              <w:t>31.0</w:t>
            </w:r>
          </w:p>
        </w:tc>
        <w:tc>
          <w:tcPr>
            <w:tcW w:w="1245" w:type="dxa"/>
            <w:vAlign w:val="center"/>
          </w:tcPr>
          <w:p>
            <w:r>
              <w:t>35.0</w:t>
            </w:r>
          </w:p>
        </w:tc>
        <w:tc>
          <w:tcPr>
            <w:tcW w:w="1245" w:type="dxa"/>
            <w:vAlign w:val="center"/>
          </w:tcPr>
          <w:p>
            <w:r>
              <w:t>36.0</w:t>
            </w:r>
          </w:p>
        </w:tc>
        <w:tc>
          <w:tcPr>
            <w:tcW w:w="1245" w:type="dxa"/>
            <w:vAlign w:val="center"/>
          </w:tcPr>
          <w:p>
            <w:r>
              <w:t>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/>
        </w:tc>
        <w:tc>
          <w:tcPr>
            <w:tcW w:w="1415" w:type="dxa"/>
            <w:shd w:val="clear" w:color="auto" w:fill="E6E6E6"/>
            <w:vAlign w:val="center"/>
          </w:tcPr>
          <w:p>
            <w:r>
              <w:t>构造</w:t>
            </w:r>
          </w:p>
        </w:tc>
        <w:tc>
          <w:tcPr>
            <w:tcW w:w="6225" w:type="dxa"/>
            <w:gridSpan w:val="5"/>
            <w:vAlign w:val="center"/>
          </w:tcPr>
          <w:p>
            <w:r>
              <w:t>6mm无色玻璃+0.05mm（S70215）智能光控节能安全膜+12A+6mmlow-e玻璃（无窗框）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/>
        </w:tc>
        <w:tc>
          <w:tcPr>
            <w:tcW w:w="1415" w:type="dxa"/>
            <w:shd w:val="clear" w:color="auto" w:fill="E6E6E6"/>
            <w:vAlign w:val="center"/>
          </w:tcPr>
          <w:p>
            <w:r>
              <w:t>参照构造</w:t>
            </w:r>
          </w:p>
        </w:tc>
        <w:tc>
          <w:tcPr>
            <w:tcW w:w="6225" w:type="dxa"/>
            <w:gridSpan w:val="5"/>
            <w:vAlign w:val="center"/>
          </w:tcPr>
          <w:p>
            <w:r>
              <w:t>8+0.76PVB+8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Merge w:val="continue"/>
            <w:shd w:val="clear" w:color="auto" w:fill="E6E6E6"/>
            <w:vAlign w:val="center"/>
          </w:tcPr>
          <w:p/>
        </w:tc>
        <w:tc>
          <w:tcPr>
            <w:tcW w:w="1415" w:type="dxa"/>
            <w:shd w:val="clear" w:color="auto" w:fill="E6E6E6"/>
            <w:vAlign w:val="center"/>
          </w:tcPr>
          <w:p>
            <w:r>
              <w:t>隔声量来源</w:t>
            </w:r>
          </w:p>
        </w:tc>
        <w:tc>
          <w:tcPr>
            <w:tcW w:w="6225" w:type="dxa"/>
            <w:gridSpan w:val="5"/>
            <w:vAlign w:val="center"/>
          </w:tcPr>
          <w:p>
            <w:r>
              <w:t>《建筑隔声与吸声构造》08J931</w:t>
            </w:r>
          </w:p>
        </w:tc>
      </w:tr>
    </w:tbl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GB6X_CNKI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82B653D"/>
    <w:multiLevelType w:val="multilevel"/>
    <w:tmpl w:val="482B653D"/>
    <w:lvl w:ilvl="0" w:tentative="0">
      <w:start w:val="1"/>
      <w:numFmt w:val="bullet"/>
      <w:lvlText w:val="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5872567E"/>
    <w:multiLevelType w:val="multilevel"/>
    <w:tmpl w:val="5872567E"/>
    <w:lvl w:ilvl="0" w:tentative="0">
      <w:start w:val="1"/>
      <w:numFmt w:val="bullet"/>
      <w:lvlText w:val=""/>
      <w:lvlJc w:val="left"/>
      <w:pPr>
        <w:ind w:left="840" w:hanging="42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MmFmZjk3MzBlYzI3YWFjZmJjZTcyNDc3NmMyZDcifQ=="/>
  </w:docVars>
  <w:rsids>
    <w:rsidRoot w:val="2C950DE7"/>
    <w:rsid w:val="2C95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微软雅黑"/>
      <w:sz w:val="18"/>
      <w:szCs w:val="18"/>
      <w:lang w:val="en-GB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napToGrid w:val="0"/>
      <w:spacing w:before="240" w:after="240"/>
      <w:ind w:right="180" w:rightChars="100"/>
      <w:jc w:val="both"/>
      <w:outlineLvl w:val="1"/>
    </w:pPr>
    <w:rPr>
      <w:rFonts w:ascii="微软雅黑" w:hAnsi="微软雅黑" w:eastAsia="微软雅黑" w:cs="微软雅黑"/>
      <w:b/>
      <w:bCs/>
      <w:iCs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napToGrid w:val="0"/>
      <w:jc w:val="both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2023-03-04T11:54:00Z</dcterms:created>
  <dc:creator>26651</dc:creator>
  <cp:lastModifiedBy>26651</cp:lastModifiedBy>
  <dcterms:modified xsi:type="dcterms:W3CDTF">2023-03-04T11:54:30Z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2571B8D226E64A5190CD3C25B21DC2FB</vt:lpwstr>
  </property>
</Properties>
</file>