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r>
              <w:rPr>
                <w:rFonts w:hint="eastAsia" w:ascii="宋体" w:hAnsi="宋体"/>
                <w:szCs w:val="21"/>
              </w:rPr>
              <w:t>福建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2023年03月02日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0" w:name="_GoBack"/>
      <w:bookmarkEnd w:id="110"/>
      <w:r>
        <w:rPr>
          <w:rFonts w:ascii="宋体" w:hAnsi="宋体"/>
          <w:bCs w:val="0"/>
          <w:caps/>
        </w:rPr>
        <w:fldChar w:fldCharType="begin"/>
      </w:r>
      <w:r>
        <w:rPr>
          <w:rFonts w:ascii="宋体" w:hAnsi="宋体"/>
          <w:bCs w:val="0"/>
          <w:caps/>
        </w:rPr>
        <w:instrText xml:space="preserve"> HYPERLINK \l _Toc26665 </w:instrText>
      </w:r>
      <w:r>
        <w:rPr>
          <w:rFonts w:ascii="宋体" w:hAnsi="宋体"/>
          <w:bCs w:val="0"/>
          <w:caps/>
        </w:rPr>
        <w:fldChar w:fldCharType="separate"/>
      </w:r>
      <w:r>
        <w:rPr>
          <w:rFonts w:hint="eastAsia"/>
        </w:rPr>
        <w:t>1 项目概况</w:t>
      </w:r>
      <w:r>
        <w:tab/>
      </w:r>
      <w:r>
        <w:fldChar w:fldCharType="begin"/>
      </w:r>
      <w:r>
        <w:instrText xml:space="preserve"> PAGEREF _Toc26665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_Toc2046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_Toc2046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_Toc11555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_Toc11555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_Toc31732 </w:instrText>
      </w:r>
      <w:r>
        <w:fldChar w:fldCharType="separate"/>
      </w:r>
      <w:r>
        <w:rPr>
          <w:rFonts w:hint="eastAsia"/>
        </w:rPr>
        <w:t>2 计算</w:t>
      </w:r>
      <w:r>
        <w:t>依据</w:t>
      </w:r>
      <w:r>
        <w:tab/>
      </w:r>
      <w:r>
        <w:fldChar w:fldCharType="begin"/>
      </w:r>
      <w:r>
        <w:instrText xml:space="preserve"> PAGEREF _Toc31732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_Toc12336 </w:instrText>
      </w:r>
      <w:r>
        <w:fldChar w:fldCharType="separate"/>
      </w:r>
      <w:r>
        <w:rPr>
          <w:rFonts w:hint="eastAsia"/>
        </w:rPr>
        <w:t>3 参考</w:t>
      </w:r>
      <w:r>
        <w:t>标准</w:t>
      </w:r>
      <w:r>
        <w:tab/>
      </w:r>
      <w:r>
        <w:fldChar w:fldCharType="begin"/>
      </w:r>
      <w:r>
        <w:instrText xml:space="preserve"> PAGEREF _Toc12336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_Toc24349 </w:instrText>
      </w:r>
      <w:r>
        <w:fldChar w:fldCharType="separate"/>
      </w:r>
      <w:r>
        <w:rPr>
          <w:rFonts w:hint="eastAsia"/>
        </w:rPr>
        <w:t>4 计算原理</w:t>
      </w:r>
      <w:r>
        <w:tab/>
      </w:r>
      <w:r>
        <w:fldChar w:fldCharType="begin"/>
      </w:r>
      <w:r>
        <w:instrText xml:space="preserve"> PAGEREF _Toc24349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_Toc9828 </w:instrText>
      </w:r>
      <w:r>
        <w:fldChar w:fldCharType="separate"/>
      </w:r>
      <w:r>
        <w:rPr>
          <w:rFonts w:hint="eastAsia"/>
          <w:lang w:val="en-GB"/>
        </w:rPr>
        <w:t xml:space="preserve">4.1 </w:t>
      </w:r>
      <w:r>
        <w:rPr>
          <w:rFonts w:hint="eastAsia"/>
        </w:rPr>
        <w:t>风场计算域</w:t>
      </w:r>
      <w:r>
        <w:tab/>
      </w:r>
      <w:r>
        <w:fldChar w:fldCharType="begin"/>
      </w:r>
      <w:r>
        <w:instrText xml:space="preserve"> PAGEREF _Toc9828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_Toc28568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_Toc28568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_Toc9554 </w:instrText>
      </w:r>
      <w:r>
        <w:fldChar w:fldCharType="separate"/>
      </w:r>
      <w:r>
        <w:rPr>
          <w:rFonts w:hint="eastAsia"/>
          <w:lang w:val="en-GB"/>
        </w:rPr>
        <w:t xml:space="preserve">4.2 </w:t>
      </w:r>
      <w:r>
        <w:rPr>
          <w:rFonts w:hint="eastAsia"/>
        </w:rPr>
        <w:t>网格划分</w:t>
      </w:r>
      <w:r>
        <w:tab/>
      </w:r>
      <w:r>
        <w:fldChar w:fldCharType="begin"/>
      </w:r>
      <w:r>
        <w:instrText xml:space="preserve"> PAGEREF _Toc9554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_Toc17618 </w:instrText>
      </w:r>
      <w:r>
        <w:fldChar w:fldCharType="separate"/>
      </w:r>
      <w:r>
        <w:rPr>
          <w:rFonts w:hint="eastAsia"/>
          <w:lang w:val="en-GB"/>
        </w:rPr>
        <w:t xml:space="preserve">4.3 </w:t>
      </w:r>
      <w:r>
        <w:rPr>
          <w:rFonts w:hint="eastAsia"/>
        </w:rPr>
        <w:t>边界条件</w:t>
      </w:r>
      <w:r>
        <w:tab/>
      </w:r>
      <w:r>
        <w:fldChar w:fldCharType="begin"/>
      </w:r>
      <w:r>
        <w:instrText xml:space="preserve"> PAGEREF _Toc17618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_Toc1587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_Toc1587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_Toc31903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_Toc31903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_Toc23331 </w:instrText>
      </w:r>
      <w:r>
        <w:fldChar w:fldCharType="separate"/>
      </w:r>
      <w:r>
        <w:rPr>
          <w:rFonts w:hint="eastAsia"/>
          <w:lang w:val="en-GB"/>
        </w:rPr>
        <w:t xml:space="preserve">4.4 </w:t>
      </w:r>
      <w:r>
        <w:rPr>
          <w:rFonts w:hint="eastAsia"/>
        </w:rPr>
        <w:t>湍流模型</w:t>
      </w:r>
      <w:r>
        <w:tab/>
      </w:r>
      <w:r>
        <w:fldChar w:fldCharType="begin"/>
      </w:r>
      <w:r>
        <w:instrText xml:space="preserve"> PAGEREF _Toc23331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_Toc26096 </w:instrText>
      </w:r>
      <w:r>
        <w:fldChar w:fldCharType="separate"/>
      </w:r>
      <w:r>
        <w:rPr>
          <w:rFonts w:hint="eastAsia"/>
          <w:lang w:val="en-GB"/>
        </w:rPr>
        <w:t xml:space="preserve">4.5 </w:t>
      </w:r>
      <w:r>
        <w:rPr>
          <w:rFonts w:hint="eastAsia"/>
        </w:rPr>
        <w:t>求解计算</w:t>
      </w:r>
      <w:r>
        <w:tab/>
      </w:r>
      <w:r>
        <w:fldChar w:fldCharType="begin"/>
      </w:r>
      <w:r>
        <w:instrText xml:space="preserve"> PAGEREF _Toc26096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_Toc20330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_Toc20330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_Toc21227 </w:instrText>
      </w:r>
      <w:r>
        <w:fldChar w:fldCharType="separate"/>
      </w:r>
      <w:r>
        <w:rPr>
          <w:rFonts w:hint="eastAsia"/>
        </w:rPr>
        <w:t>5 结果</w:t>
      </w:r>
      <w:r>
        <w:t>分析</w:t>
      </w:r>
      <w:r>
        <w:tab/>
      </w:r>
      <w:r>
        <w:fldChar w:fldCharType="begin"/>
      </w:r>
      <w:r>
        <w:instrText xml:space="preserve"> PAGEREF _Toc21227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_Toc815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_Toc815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_Toc12847 </w:instrText>
      </w:r>
      <w:r>
        <w:fldChar w:fldCharType="separate"/>
      </w:r>
      <w:r>
        <w:rPr>
          <w:rFonts w:hint="eastAsia"/>
          <w:lang w:val="en-GB"/>
        </w:rPr>
        <w:t xml:space="preserve">5.2 </w:t>
      </w:r>
      <w:r>
        <w:rPr>
          <w:rFonts w:hint="eastAsia"/>
        </w:rPr>
        <w:t>夏季工况</w:t>
      </w:r>
      <w:r>
        <w:tab/>
      </w:r>
      <w:r>
        <w:fldChar w:fldCharType="begin"/>
      </w:r>
      <w:r>
        <w:instrText xml:space="preserve"> PAGEREF _Toc12847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_Toc3578 </w:instrText>
      </w:r>
      <w:r>
        <w:fldChar w:fldCharType="separate"/>
      </w:r>
      <w:r>
        <w:rPr>
          <w:rFonts w:hint="eastAsia" w:eastAsia="宋体"/>
          <w:szCs w:val="24"/>
          <w:lang w:val="en-GB"/>
        </w:rPr>
        <w:t xml:space="preserve">5.2.1 </w:t>
      </w:r>
      <w:r>
        <w:rPr>
          <w:rFonts w:hint="eastAsia"/>
        </w:rPr>
        <w:t>人活动区域无风区计算分析</w:t>
      </w:r>
      <w:r>
        <w:tab/>
      </w:r>
      <w:r>
        <w:fldChar w:fldCharType="begin"/>
      </w:r>
      <w:r>
        <w:instrText xml:space="preserve"> PAGEREF _Toc3578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_Toc1960 </w:instrText>
      </w:r>
      <w:r>
        <w:fldChar w:fldCharType="separate"/>
      </w:r>
      <w:r>
        <w:rPr>
          <w:rFonts w:hint="eastAsia" w:eastAsia="宋体"/>
          <w:szCs w:val="24"/>
          <w:lang w:val="en-GB"/>
        </w:rPr>
        <w:t xml:space="preserve">5.2.2 </w:t>
      </w:r>
      <w:r>
        <w:rPr>
          <w:rFonts w:hint="eastAsia"/>
        </w:rPr>
        <w:t>人活动区域旋涡区分析</w:t>
      </w:r>
      <w:r>
        <w:tab/>
      </w:r>
      <w:r>
        <w:fldChar w:fldCharType="begin"/>
      </w:r>
      <w:r>
        <w:instrText xml:space="preserve"> PAGEREF _Toc1960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_Toc23841 </w:instrText>
      </w:r>
      <w:r>
        <w:fldChar w:fldCharType="separate"/>
      </w:r>
      <w:r>
        <w:rPr>
          <w:rFonts w:hint="eastAsia" w:eastAsia="宋体"/>
          <w:szCs w:val="24"/>
          <w:lang w:val="en-GB"/>
        </w:rPr>
        <w:t xml:space="preserve">5.2.3 </w:t>
      </w:r>
      <w:r>
        <w:rPr>
          <w:rFonts w:hint="eastAsia"/>
        </w:rPr>
        <w:t>人活动区域旋涡区/无风区达标结果汇总</w:t>
      </w:r>
      <w:r>
        <w:tab/>
      </w:r>
      <w:r>
        <w:fldChar w:fldCharType="begin"/>
      </w:r>
      <w:r>
        <w:instrText xml:space="preserve"> PAGEREF _Toc23841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_Toc6171 </w:instrText>
      </w:r>
      <w:r>
        <w:fldChar w:fldCharType="separate"/>
      </w:r>
      <w:r>
        <w:rPr>
          <w:rFonts w:hint="eastAsia"/>
          <w:lang w:val="en-GB"/>
        </w:rPr>
        <w:t xml:space="preserve">5.3 </w:t>
      </w:r>
      <w:r>
        <w:rPr>
          <w:rFonts w:hint="eastAsia"/>
        </w:rPr>
        <w:t>结论</w:t>
      </w:r>
      <w:r>
        <w:tab/>
      </w:r>
      <w:r>
        <w:fldChar w:fldCharType="begin"/>
      </w:r>
      <w:r>
        <w:instrText xml:space="preserve"> PAGEREF _Toc6171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_Toc27696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_Toc27696 \h </w:instrText>
      </w:r>
      <w:r>
        <w:fldChar w:fldCharType="separate"/>
      </w:r>
      <w:r>
        <w:t>15</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7" w:name="_Toc452108759"/>
      <w:bookmarkStart w:id="8" w:name="_Toc26665"/>
      <w:r>
        <w:rPr>
          <w:rFonts w:hint="eastAsia"/>
        </w:rPr>
        <w:t>项目概况</w:t>
      </w:r>
      <w:bookmarkEnd w:id="7"/>
      <w:bookmarkEnd w:id="8"/>
    </w:p>
    <w:p>
      <w:pPr>
        <w:pStyle w:val="3"/>
        <w:ind w:firstLine="420"/>
        <w:rPr>
          <w:lang w:val="en-US"/>
        </w:rPr>
      </w:pPr>
      <w:bookmarkStart w:id="9" w:name="项目概况"/>
      <w:bookmarkEnd w:id="9"/>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0" w:name="_Toc452108760"/>
      <w:bookmarkStart w:id="11" w:name="_Toc2046"/>
      <w:r>
        <w:rPr>
          <w:rFonts w:hint="eastAsia"/>
        </w:rPr>
        <w:t>总</w:t>
      </w:r>
      <w:r>
        <w:t>平面图</w:t>
      </w:r>
      <w:bookmarkEnd w:id="10"/>
      <w:bookmarkEnd w:id="1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2"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2"/>
    </w:tbl>
    <w:p>
      <w:pPr>
        <w:pStyle w:val="3"/>
        <w:ind w:firstLine="0" w:firstLineChars="0"/>
        <w:jc w:val="center"/>
        <w:rPr>
          <w:lang w:val="en-US"/>
        </w:rPr>
      </w:pPr>
      <w:r>
        <w:rPr>
          <w:rFonts w:hint="eastAsia"/>
          <w:lang w:val="en-US"/>
        </w:rPr>
        <w:t xml:space="preserve"> </w:t>
      </w:r>
      <w:bookmarkStart w:id="13" w:name="总平面图"/>
      <w:bookmarkEnd w:id="13"/>
      <w:r>
        <w:drawing>
          <wp:inline distT="0" distB="0" distL="0" distR="0">
            <wp:extent cx="5667375" cy="3800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4" w:name="_Toc452108761"/>
      <w:bookmarkStart w:id="15" w:name="_Toc11555"/>
      <w:r>
        <w:rPr>
          <w:rFonts w:hint="eastAsia"/>
        </w:rPr>
        <w:t>三</w:t>
      </w:r>
      <w:r>
        <w:t>维视图</w:t>
      </w:r>
      <w:bookmarkEnd w:id="14"/>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6"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6"/>
    </w:tbl>
    <w:p>
      <w:pPr>
        <w:pStyle w:val="3"/>
        <w:ind w:firstLine="0" w:firstLineChars="0"/>
        <w:jc w:val="center"/>
        <w:rPr>
          <w:lang w:val="en-US"/>
        </w:rPr>
      </w:pPr>
      <w:r>
        <w:rPr>
          <w:rFonts w:hint="eastAsia"/>
          <w:lang w:val="en-US"/>
        </w:rPr>
        <w:t xml:space="preserve"> </w:t>
      </w:r>
      <w:bookmarkStart w:id="17" w:name="三维视图"/>
      <w:bookmarkEnd w:id="17"/>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TitleFormat"/>
      <w:bookmarkStart w:id="19" w:name="_Toc452108762"/>
      <w:bookmarkStart w:id="20" w:name="_Toc31732"/>
      <w:r>
        <w:rPr>
          <w:rFonts w:hint="eastAsia"/>
        </w:rPr>
        <w:t>计算</w:t>
      </w:r>
      <w:r>
        <w:t>依据</w:t>
      </w:r>
      <w:bookmarkEnd w:id="18"/>
      <w:bookmarkEnd w:id="19"/>
      <w:bookmarkEnd w:id="20"/>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《福建省绿色建筑设计标准》DBJ 13-197-2017</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452108763"/>
      <w:bookmarkStart w:id="22" w:name="_Toc12336"/>
      <w:r>
        <w:rPr>
          <w:rFonts w:hint="eastAsia"/>
        </w:rPr>
        <w:t>参考</w:t>
      </w:r>
      <w:r>
        <w:t>标准</w:t>
      </w:r>
      <w:bookmarkEnd w:id="21"/>
      <w:bookmarkEnd w:id="22"/>
    </w:p>
    <w:p>
      <w:pPr>
        <w:pStyle w:val="3"/>
        <w:ind w:firstLine="420"/>
        <w:rPr>
          <w:lang w:val="en-US"/>
        </w:rPr>
      </w:pPr>
      <w:r>
        <w:rPr>
          <w:rFonts w:hint="eastAsia"/>
          <w:lang w:val="en-US"/>
        </w:rPr>
        <w:t>室外风环境评价依据为《福建省绿色建筑设计标准》DBJ 13-197-2017中有关室外风环境的条目要求。具体要求如下：</w:t>
      </w:r>
    </w:p>
    <w:p>
      <w:pPr>
        <w:pStyle w:val="3"/>
        <w:ind w:firstLine="420"/>
        <w:rPr>
          <w:lang w:val="en-US"/>
        </w:rPr>
      </w:pPr>
      <w:bookmarkStart w:id="23" w:name="_Toc451698935"/>
      <w:bookmarkStart w:id="24" w:name="_Toc452108764"/>
      <w:bookmarkStart w:id="25" w:name="_Toc451436145"/>
      <w:r>
        <w:rPr>
          <w:rFonts w:hint="eastAsia"/>
          <w:lang w:val="en-US"/>
        </w:rPr>
        <w:t>4.2.</w:t>
      </w:r>
      <w:r>
        <w:rPr>
          <w:lang w:val="en-US"/>
        </w:rPr>
        <w:t>8</w:t>
      </w:r>
      <w:r>
        <w:rPr>
          <w:rFonts w:hint="eastAsia"/>
          <w:lang w:val="en-US"/>
        </w:rPr>
        <w:t xml:space="preserve"> 建筑布局和场地设计时应根据典型气象条件下的风环境模拟预测分析结果，采取合理措施加强夏季和过渡季节自然通风，避免冬季冷风侵袭，并应符合下列要求（设计分值为5分）：</w:t>
      </w:r>
    </w:p>
    <w:p>
      <w:pPr>
        <w:pStyle w:val="3"/>
        <w:ind w:firstLine="420"/>
        <w:rPr>
          <w:lang w:val="en-US"/>
        </w:rPr>
      </w:pPr>
      <w:r>
        <w:rPr>
          <w:rFonts w:hint="eastAsia"/>
          <w:lang w:val="en-US"/>
        </w:rPr>
        <w:t>1  冬季典型风速和风向条件下，建筑物周围人行区风速应小于5m/s，且室外风速放大系数小于2；</w:t>
      </w:r>
    </w:p>
    <w:p>
      <w:pPr>
        <w:pStyle w:val="3"/>
        <w:ind w:firstLine="420"/>
        <w:rPr>
          <w:lang w:val="en-US"/>
        </w:rPr>
      </w:pPr>
      <w:r>
        <w:rPr>
          <w:rFonts w:hint="eastAsia"/>
          <w:lang w:val="en-US"/>
        </w:rPr>
        <w:t>2  过渡季、夏季典型风速和风向条件下，场地内人活动区不出现涡旋或无风区；</w:t>
      </w:r>
    </w:p>
    <w:p>
      <w:pPr>
        <w:pStyle w:val="3"/>
        <w:ind w:firstLine="420"/>
        <w:rPr>
          <w:lang w:val="en-US"/>
        </w:rPr>
      </w:pPr>
      <w:r>
        <w:rPr>
          <w:lang w:val="en-US"/>
        </w:rPr>
        <w:t xml:space="preserve">3  </w:t>
      </w:r>
      <w:r>
        <w:rPr>
          <w:rFonts w:hint="eastAsia"/>
          <w:lang w:val="en-US"/>
        </w:rPr>
        <w:t>除迎风第一排建筑外，冬季建筑迎风面与背风面表面风压差不超过5Pa。</w:t>
      </w:r>
    </w:p>
    <w:p>
      <w:pPr>
        <w:pStyle w:val="2"/>
      </w:pPr>
      <w:bookmarkStart w:id="26" w:name="_Toc24349"/>
      <w:r>
        <w:rPr>
          <w:rFonts w:hint="eastAsia"/>
        </w:rPr>
        <w:t>计算原理</w:t>
      </w:r>
      <w:bookmarkEnd w:id="23"/>
      <w:bookmarkEnd w:id="24"/>
      <w:bookmarkEnd w:id="26"/>
    </w:p>
    <w:p>
      <w:pPr>
        <w:pStyle w:val="4"/>
        <w:numPr>
          <w:ilvl w:val="1"/>
          <w:numId w:val="3"/>
        </w:numPr>
      </w:pPr>
      <w:bookmarkStart w:id="27" w:name="_Toc509844740"/>
      <w:bookmarkStart w:id="28" w:name="_Toc9828"/>
      <w:bookmarkStart w:id="29" w:name="_Toc452108765"/>
      <w:bookmarkStart w:id="30" w:name="_Toc451698937"/>
      <w:r>
        <w:rPr>
          <w:rFonts w:hint="eastAsia"/>
        </w:rPr>
        <w:t>风场计算域</w:t>
      </w:r>
      <w:bookmarkEnd w:id="27"/>
      <w:bookmarkEnd w:id="28"/>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季节1"/>
      <w:bookmarkStart w:id="32" w:name="_Toc28568"/>
      <w:r>
        <w:rPr>
          <w:rFonts w:hint="eastAsia"/>
        </w:rPr>
        <w:t>夏季</w:t>
      </w:r>
      <w:bookmarkEnd w:id="31"/>
      <w:r>
        <w:rPr>
          <w:rFonts w:hint="eastAsia"/>
        </w:rPr>
        <w:t>工况风场计算域</w:t>
      </w:r>
      <w:bookmarkEnd w:id="32"/>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3" w:name="季节2"/>
      <w:r>
        <w:rPr>
          <w:rFonts w:hint="eastAsia" w:ascii="黑体" w:hAnsi="黑体" w:eastAsia="黑体"/>
          <w:sz w:val="20"/>
          <w:szCs w:val="20"/>
        </w:rPr>
        <w:t>夏季</w:t>
      </w:r>
      <w:bookmarkEnd w:id="33"/>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4" w:name="冬季风场X尺寸"/>
            <w:r>
              <w:t>775</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5" w:name="冬季风场Y尺寸"/>
            <w:r>
              <w:t>768</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6" w:name="冬季风场Z尺寸"/>
            <w:r>
              <w:t>142</w:t>
            </w:r>
            <w:bookmarkEnd w:id="36"/>
          </w:p>
        </w:tc>
      </w:tr>
    </w:tbl>
    <w:p>
      <w:pPr>
        <w:pStyle w:val="3"/>
        <w:ind w:firstLine="0" w:firstLineChars="0"/>
        <w:jc w:val="center"/>
        <w:rPr>
          <w:lang w:val="en-US"/>
        </w:rPr>
      </w:pPr>
      <w:bookmarkStart w:id="37" w:name="冬季工况风场计算域图示"/>
      <w:bookmarkEnd w:id="37"/>
      <w:r>
        <w:drawing>
          <wp:inline distT="0" distB="0" distL="0" distR="0">
            <wp:extent cx="5667375" cy="34099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38" w:name="季节3"/>
      <w:r>
        <w:rPr>
          <w:rFonts w:hint="eastAsia" w:ascii="黑体" w:hAnsi="黑体"/>
        </w:rPr>
        <w:t>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9" w:name="计算域"/>
      <w:bookmarkEnd w:id="39"/>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0" w:name="_Toc509844741"/>
      <w:bookmarkStart w:id="41" w:name="_Toc9554"/>
      <w:r>
        <w:rPr>
          <w:rFonts w:hint="eastAsia"/>
        </w:rPr>
        <w:t>网格划分</w:t>
      </w:r>
      <w:bookmarkEnd w:id="40"/>
      <w:bookmarkEnd w:id="41"/>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2" w:name="OLE_LINK276"/>
      <w:bookmarkStart w:id="43" w:name="OLE_LINK277"/>
      <w:r>
        <w:rPr>
          <w:rFonts w:hint="eastAsia"/>
        </w:rPr>
        <w:t>1）普通网格：指除靠近地面和建筑以外的网格，通常不需要特别加密处理</w:t>
      </w:r>
    </w:p>
    <w:p>
      <w:pPr>
        <w:pStyle w:val="12"/>
        <w:numPr>
          <w:ilvl w:val="0"/>
          <w:numId w:val="4"/>
        </w:numPr>
        <w:spacing w:before="156"/>
      </w:pPr>
      <w:bookmarkStart w:id="44" w:name="OLE_LINK15"/>
      <w:r>
        <w:rPr>
          <w:rFonts w:hint="eastAsia"/>
        </w:rPr>
        <w:t>分弧精度：对于有圆弧特征的建筑局部，把圆弧分解为线段时，弦到弧的最大距离；</w:t>
      </w:r>
    </w:p>
    <w:bookmarkEnd w:id="44"/>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2"/>
      <w:bookmarkEnd w:id="43"/>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5" w:name="冬季网格总数"/>
            <w:r>
              <w:t>1603247</w:t>
            </w:r>
            <w:bookmarkEnd w:id="45"/>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6" w:name="冬季分弧精度"/>
            <w:r>
              <w:t>0.24</w:t>
            </w:r>
            <w:bookmarkEnd w:id="4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初始网格"/>
            <w:r>
              <w:t>8.0</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最小细分级数"/>
            <w:r>
              <w:t>1</w:t>
            </w:r>
            <w:bookmarkEnd w:id="4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最大细分级数"/>
            <w:r>
              <w:t>2</w:t>
            </w:r>
            <w:bookmarkEnd w:id="4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远场细分级数"/>
            <w:r>
              <w:t>1</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近场细分级数"/>
            <w:r>
              <w:t>2</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地面附面层数"/>
            <w:r>
              <w:t>2</w:t>
            </w:r>
            <w:bookmarkEnd w:id="5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建筑附面层数"/>
            <w:r>
              <w:t>0</w:t>
            </w:r>
            <w:bookmarkEnd w:id="53"/>
          </w:p>
        </w:tc>
      </w:tr>
      <w:bookmarkEnd w:id="1"/>
    </w:tbl>
    <w:p>
      <w:pPr>
        <w:rPr>
          <w:szCs w:val="21"/>
          <w:lang w:val="en-US"/>
        </w:rPr>
      </w:pPr>
    </w:p>
    <w:p>
      <w:pPr>
        <w:jc w:val="center"/>
      </w:pPr>
      <w:bookmarkStart w:id="54" w:name="网格图"/>
      <w:bookmarkEnd w:id="54"/>
      <w:r>
        <w:drawing>
          <wp:inline distT="0" distB="0" distL="0" distR="0">
            <wp:extent cx="5667375" cy="3429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3"/>
                    <a:stretch>
                      <a:fillRect/>
                    </a:stretch>
                  </pic:blipFill>
                  <pic:spPr>
                    <a:xfrm>
                      <a:off x="0" y="0"/>
                      <a:ext cx="5667375" cy="34290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5" w:name="季节"/>
      <w:r>
        <w:rPr>
          <w:rFonts w:hint="eastAsia" w:ascii="黑体" w:hAnsi="黑体" w:eastAsia="黑体"/>
          <w:sz w:val="20"/>
          <w:szCs w:val="20"/>
        </w:rPr>
        <w:t>夏季</w:t>
      </w:r>
      <w:bookmarkEnd w:id="55"/>
    </w:p>
    <w:p>
      <w:pPr>
        <w:pStyle w:val="3"/>
        <w:ind w:firstLine="630" w:firstLineChars="300"/>
        <w:rPr>
          <w:rFonts w:ascii="黑体" w:hAnsi="黑体" w:eastAsia="黑体"/>
          <w:szCs w:val="20"/>
          <w:lang w:val="en-US"/>
        </w:rPr>
      </w:pPr>
      <w:bookmarkStart w:id="56" w:name="网格划分信息"/>
      <w:bookmarkEnd w:id="56"/>
      <w:r>
        <w:rPr>
          <w:rFonts w:hint="eastAsia" w:ascii="黑体" w:hAnsi="黑体" w:eastAsia="黑体"/>
          <w:szCs w:val="20"/>
          <w:lang w:val="en-US"/>
        </w:rPr>
        <w:t>注：前述计算域随风向不同，所以相同的网格方案会产生不同的网格数量。</w:t>
      </w:r>
    </w:p>
    <w:bookmarkEnd w:id="38"/>
    <w:p>
      <w:pPr>
        <w:pStyle w:val="3"/>
        <w:ind w:firstLine="0" w:firstLineChars="0"/>
        <w:rPr>
          <w:rFonts w:ascii="黑体" w:hAnsi="黑体" w:eastAsia="黑体"/>
          <w:szCs w:val="20"/>
          <w:lang w:val="en-US"/>
        </w:rPr>
      </w:pPr>
    </w:p>
    <w:p>
      <w:pPr>
        <w:pStyle w:val="4"/>
        <w:numPr>
          <w:ilvl w:val="1"/>
          <w:numId w:val="3"/>
        </w:numPr>
      </w:pPr>
      <w:bookmarkStart w:id="57" w:name="_Toc509844742"/>
      <w:bookmarkStart w:id="58" w:name="_Toc17618"/>
      <w:r>
        <w:rPr>
          <w:rFonts w:hint="eastAsia"/>
        </w:rPr>
        <w:t>边界条件</w:t>
      </w:r>
      <w:bookmarkEnd w:id="57"/>
      <w:bookmarkEnd w:id="58"/>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9" w:name="_Toc509844743"/>
      <w:bookmarkStart w:id="60" w:name="_Toc1587"/>
      <w:r>
        <w:rPr>
          <w:rFonts w:hint="eastAsia"/>
        </w:rPr>
        <w:t>入口与出口边界条件</w:t>
      </w:r>
      <w:bookmarkEnd w:id="59"/>
      <w:bookmarkEnd w:id="60"/>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1" w:name="地面粗糙度指数2"/>
      <w:r>
        <w:rPr>
          <w:rFonts w:hint="eastAsia"/>
          <w:lang w:val="en-US"/>
        </w:rPr>
        <w:t>0.14</w:t>
      </w:r>
      <w:bookmarkEnd w:id="61"/>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2" w:name="_Toc509844744"/>
      <w:bookmarkStart w:id="63" w:name="_Toc31903"/>
      <w:r>
        <w:rPr>
          <w:rFonts w:hint="eastAsia"/>
        </w:rPr>
        <w:t>壁面边界条件</w:t>
      </w:r>
      <w:bookmarkEnd w:id="62"/>
      <w:bookmarkEnd w:id="63"/>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4" w:name="_Toc23331"/>
      <w:r>
        <w:rPr>
          <w:rFonts w:hint="eastAsia"/>
        </w:rPr>
        <w:t>湍流模型</w:t>
      </w:r>
      <w:bookmarkEnd w:id="29"/>
      <w:bookmarkEnd w:id="30"/>
      <w:bookmarkEnd w:id="64"/>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5" w:name="_Toc451698939"/>
      <w:bookmarkStart w:id="66" w:name="_Toc452108767"/>
      <w:bookmarkStart w:id="67" w:name="_Toc26096"/>
      <w:r>
        <w:rPr>
          <w:rFonts w:hint="eastAsia"/>
        </w:rPr>
        <w:t>求解计算</w:t>
      </w:r>
      <w:bookmarkEnd w:id="65"/>
      <w:bookmarkEnd w:id="66"/>
      <w:bookmarkEnd w:id="67"/>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8"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8"/>
      <w:r>
        <w:rPr>
          <w:rFonts w:hint="eastAsia" w:ascii="黑体" w:hAnsi="黑体" w:eastAsia="黑体"/>
          <w:sz w:val="20"/>
          <w:szCs w:val="20"/>
        </w:rPr>
        <w:t xml:space="preserve"> </w:t>
      </w:r>
      <w:bookmarkStart w:id="69" w:name="_Ref225175618"/>
      <w:r>
        <w:rPr>
          <w:rFonts w:hint="eastAsia" w:ascii="黑体" w:hAnsi="黑体" w:eastAsia="黑体"/>
          <w:sz w:val="20"/>
          <w:szCs w:val="20"/>
        </w:rPr>
        <w:t>计算流体力学的控制方程</w:t>
      </w:r>
      <w:bookmarkEnd w:id="69"/>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5"/>
    </w:p>
    <w:p>
      <w:pPr>
        <w:pStyle w:val="4"/>
      </w:pPr>
      <w:bookmarkStart w:id="70" w:name="_Toc509844747"/>
      <w:bookmarkStart w:id="71" w:name="_Toc20330"/>
      <w:r>
        <w:rPr>
          <w:rFonts w:hint="eastAsia"/>
        </w:rPr>
        <w:t>风速放大系数计算</w:t>
      </w:r>
      <w:bookmarkEnd w:id="70"/>
      <w:bookmarkEnd w:id="71"/>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2" w:name="地面粗糙度指数"/>
      <w:r>
        <w:rPr>
          <w:rFonts w:hint="eastAsia"/>
          <w:lang w:val="en-US"/>
        </w:rPr>
        <w:t>0.14</w:t>
      </w:r>
      <w:bookmarkEnd w:id="72"/>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3" w:name="_Toc452108768"/>
      <w:bookmarkStart w:id="74" w:name="_Toc21227"/>
      <w:r>
        <w:rPr>
          <w:rFonts w:hint="eastAsia"/>
        </w:rPr>
        <w:t>结果</w:t>
      </w:r>
      <w:r>
        <w:t>分析</w:t>
      </w:r>
      <w:bookmarkEnd w:id="73"/>
      <w:bookmarkEnd w:id="74"/>
    </w:p>
    <w:p>
      <w:pPr>
        <w:pStyle w:val="4"/>
        <w:rPr>
          <w:szCs w:val="21"/>
        </w:rPr>
      </w:pPr>
      <w:bookmarkStart w:id="75" w:name="_Toc815"/>
      <w:r>
        <w:rPr>
          <w:rFonts w:hint="eastAsia"/>
          <w:szCs w:val="21"/>
        </w:rPr>
        <w:t>工况</w:t>
      </w:r>
      <w:r>
        <w:rPr>
          <w:szCs w:val="21"/>
        </w:rPr>
        <w:t>表</w:t>
      </w:r>
      <w:bookmarkEnd w:id="75"/>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6"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4.20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SSE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292.5</w:t>
            </w:r>
          </w:p>
        </w:tc>
      </w:tr>
      <w:bookmarkEnd w:id="76"/>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77" w:name="冬季工况"/>
      <w:bookmarkEnd w:id="77"/>
      <w:r>
        <w:rPr>
          <w:rFonts w:hint="eastAsia"/>
          <w:lang w:val="en-US"/>
        </w:rPr>
        <w:t xml:space="preserve"> </w:t>
      </w:r>
    </w:p>
    <w:p>
      <w:pPr>
        <w:pStyle w:val="4"/>
      </w:pPr>
      <w:bookmarkStart w:id="78" w:name="_Toc509844759"/>
      <w:bookmarkStart w:id="79" w:name="_Toc12847"/>
      <w:r>
        <w:rPr>
          <w:rFonts w:hint="eastAsia"/>
        </w:rPr>
        <w:t>夏季</w:t>
      </w:r>
      <w:bookmarkEnd w:id="0"/>
      <w:r>
        <w:rPr>
          <w:rFonts w:hint="eastAsia"/>
        </w:rPr>
        <w:t>工况</w:t>
      </w:r>
      <w:bookmarkEnd w:id="78"/>
      <w:bookmarkEnd w:id="79"/>
    </w:p>
    <w:p>
      <w:pPr>
        <w:pStyle w:val="3"/>
        <w:ind w:firstLine="420"/>
      </w:pPr>
      <w:r>
        <w:rPr>
          <w:rFonts w:hint="eastAsia"/>
          <w:lang w:val="en-US"/>
        </w:rPr>
        <w:t>本项目夏季</w:t>
      </w:r>
      <w:bookmarkEnd w:id="2"/>
      <w:r>
        <w:rPr>
          <w:rFonts w:hint="eastAsia"/>
          <w:lang w:val="en-US"/>
        </w:rPr>
        <w:t>工况的入口边界风速为</w:t>
      </w:r>
      <w:bookmarkStart w:id="80" w:name="入口边界风速"/>
      <w:r>
        <w:rPr>
          <w:rFonts w:hint="eastAsia"/>
          <w:lang w:val="en-US"/>
        </w:rPr>
        <w:t>4.20</w:t>
      </w:r>
      <w:bookmarkEnd w:id="80"/>
      <w:r>
        <w:rPr>
          <w:rFonts w:hint="eastAsia"/>
          <w:lang w:val="en-US"/>
        </w:rPr>
        <w:t>m/s，风向为</w:t>
      </w:r>
      <w:bookmarkStart w:id="81" w:name="入口边界风向"/>
      <w:r>
        <w:t>SSE</w:t>
      </w:r>
      <w:bookmarkEnd w:id="81"/>
      <w:r>
        <w:rPr>
          <w:rFonts w:hint="eastAsia"/>
          <w:lang w:val="en-US"/>
        </w:rPr>
        <w:t>。</w:t>
      </w:r>
    </w:p>
    <w:p>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2" w:name="季节4"/>
      <w:r>
        <w:rPr>
          <w:rFonts w:hint="eastAsia"/>
          <w:lang w:val="en-US"/>
        </w:rPr>
        <w:t>夏季</w:t>
      </w:r>
      <w:bookmarkEnd w:id="82"/>
      <w:r>
        <w:rPr>
          <w:rFonts w:hint="eastAsia"/>
          <w:lang w:val="en-US"/>
        </w:rPr>
        <w:t>形成有效的巷道风，优化街区自然通风环境，避免</w:t>
      </w:r>
      <w:bookmarkStart w:id="83" w:name="季节5"/>
      <w:r>
        <w:rPr>
          <w:rFonts w:hint="eastAsia"/>
          <w:lang w:val="en-US"/>
        </w:rPr>
        <w:t>夏季</w:t>
      </w:r>
      <w:bookmarkEnd w:id="83"/>
      <w:r>
        <w:rPr>
          <w:rFonts w:hint="eastAsia"/>
          <w:lang w:val="en-US"/>
        </w:rPr>
        <w:t>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84" w:name="_Toc509844760"/>
      <w:bookmarkStart w:id="85" w:name="_Toc3578"/>
      <w:r>
        <w:rPr>
          <w:rFonts w:hint="eastAsia"/>
        </w:rPr>
        <w:t>人活动区域无风区计算分析</w:t>
      </w:r>
      <w:bookmarkEnd w:id="84"/>
      <w:bookmarkEnd w:id="85"/>
    </w:p>
    <w:p>
      <w:pPr>
        <w:pStyle w:val="3"/>
        <w:spacing w:after="156" w:afterLines="50"/>
        <w:ind w:firstLine="420"/>
        <w:jc w:val="left"/>
      </w:pPr>
      <w:r>
        <w:rPr>
          <w:rFonts w:hint="eastAsia"/>
          <w:lang w:val="en-US"/>
        </w:rPr>
        <w:t>本项目通过CFD计算获取整个计算域内以及人行区的风速分布，并通过速度下限为0</w:t>
      </w:r>
      <w:r>
        <w:rPr>
          <w:lang w:val="en-US"/>
        </w:rPr>
        <w:t>.</w:t>
      </w:r>
      <w:r>
        <w:rPr>
          <w:rFonts w:hint="eastAsia"/>
          <w:lang w:val="en-US"/>
        </w:rPr>
        <w:t>2m/s的速度等值线标示出超限区域。结合下列图和表中数据，</w:t>
      </w:r>
      <w:bookmarkStart w:id="86" w:name="人行区风速分析结论"/>
      <w:bookmarkEnd w:id="86"/>
    </w:p>
    <w:p>
      <w:pPr>
        <w:pStyle w:val="3"/>
        <w:spacing w:after="156" w:afterLines="50"/>
        <w:ind w:firstLine="0" w:firstLineChars="0"/>
        <w:jc w:val="center"/>
      </w:pPr>
      <w:bookmarkStart w:id="87" w:name="人行区风速云图"/>
      <w:bookmarkEnd w:id="87"/>
      <w:r>
        <w:drawing>
          <wp:inline distT="0" distB="0" distL="0" distR="0">
            <wp:extent cx="5667375" cy="31718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1718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w:t>
      </w:r>
      <w:bookmarkStart w:id="88" w:name="季节6"/>
      <w:r>
        <w:rPr>
          <w:rFonts w:hint="eastAsia" w:ascii="黑体" w:hAnsi="黑体" w:eastAsia="黑体"/>
          <w:sz w:val="20"/>
          <w:szCs w:val="20"/>
        </w:rPr>
        <w:t>夏季</w:t>
      </w:r>
      <w:bookmarkEnd w:id="88"/>
      <w:r>
        <w:rPr>
          <w:rFonts w:hint="eastAsia"/>
        </w:rPr>
        <w:t xml:space="preserve"> </w:t>
      </w:r>
    </w:p>
    <w:p>
      <w:pPr>
        <w:pStyle w:val="3"/>
        <w:ind w:firstLine="420"/>
      </w:pPr>
    </w:p>
    <w:p>
      <w:pPr>
        <w:pStyle w:val="5"/>
      </w:pPr>
      <w:bookmarkStart w:id="89" w:name="_Toc509844761"/>
      <w:bookmarkStart w:id="90" w:name="_Toc1960"/>
      <w:r>
        <w:rPr>
          <w:rFonts w:hint="eastAsia"/>
        </w:rPr>
        <w:t>人活动区域旋涡区分析</w:t>
      </w:r>
      <w:bookmarkEnd w:id="89"/>
      <w:bookmarkEnd w:id="90"/>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旋涡区的空气流运动体现在风速矢量图中，即若干矢量箭头以某位置为中心顺时针或者逆时针旋转呈螺旋状分布。分析下图可知，人行区没有明显的旋涡产生，因此满足绿标要求。</w:t>
      </w:r>
    </w:p>
    <w:p>
      <w:pPr>
        <w:pStyle w:val="3"/>
        <w:ind w:firstLine="0" w:firstLineChars="0"/>
        <w:jc w:val="center"/>
        <w:rPr>
          <w:lang w:val="en-US"/>
        </w:rPr>
      </w:pPr>
      <w:bookmarkStart w:id="91" w:name="人行区风速矢量图"/>
      <w:bookmarkEnd w:id="91"/>
      <w: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1"/>
                    <a:stretch>
                      <a:fillRect/>
                    </a:stretch>
                  </pic:blipFill>
                  <pic:spPr>
                    <a:xfrm>
                      <a:off x="0" y="0"/>
                      <a:ext cx="5667375" cy="36195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人行区域-1.5米高度水平面风速矢量图</w:t>
      </w:r>
      <w:r>
        <w:rPr>
          <w:rFonts w:hint="eastAsia"/>
          <w:lang w:val="en-US"/>
        </w:rPr>
        <w:t xml:space="preserve"> </w:t>
      </w:r>
    </w:p>
    <w:p>
      <w:pPr>
        <w:pStyle w:val="3"/>
        <w:ind w:firstLine="420"/>
        <w:rPr>
          <w:lang w:val="en-US"/>
        </w:rPr>
      </w:pPr>
    </w:p>
    <w:p>
      <w:pPr>
        <w:pStyle w:val="5"/>
      </w:pPr>
      <w:bookmarkStart w:id="92" w:name="_Toc509844762"/>
      <w:bookmarkStart w:id="93" w:name="_Toc23841"/>
      <w:r>
        <w:rPr>
          <w:rFonts w:hint="eastAsia"/>
        </w:rPr>
        <w:t>人活动区域旋涡区/无风区达标</w:t>
      </w:r>
      <w:bookmarkEnd w:id="92"/>
      <w:r>
        <w:rPr>
          <w:rFonts w:hint="eastAsia"/>
        </w:rPr>
        <w:t>结果汇总</w:t>
      </w:r>
      <w:bookmarkEnd w:id="93"/>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4" w:name="季节8"/>
      <w:r>
        <w:rPr>
          <w:rFonts w:hint="eastAsia" w:ascii="黑体" w:hAnsi="黑体" w:eastAsia="黑体"/>
          <w:sz w:val="20"/>
          <w:szCs w:val="20"/>
        </w:rPr>
        <w:t>夏季</w:t>
      </w:r>
      <w:bookmarkEnd w:id="94"/>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95" w:name="是否有无风区"/>
            <w:r>
              <w:rPr>
                <w:rFonts w:hint="eastAsia" w:ascii="宋体" w:hAnsi="宋体" w:cs="宋体"/>
                <w:color w:val="000000"/>
                <w:sz w:val="22"/>
                <w:szCs w:val="22"/>
                <w:lang w:val="en-US"/>
              </w:rPr>
              <w:t>否</w:t>
            </w:r>
            <w:bookmarkEnd w:id="95"/>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96" w:name="无风区达标判断"/>
            <w:r>
              <w:rPr>
                <w:rFonts w:hint="eastAsia" w:ascii="宋体" w:hAnsi="宋体" w:cs="宋体"/>
                <w:color w:val="000000"/>
                <w:sz w:val="22"/>
                <w:szCs w:val="22"/>
                <w:lang w:val="en-US"/>
              </w:rPr>
              <w:t>是</w:t>
            </w:r>
            <w:bookmarkEnd w:id="96"/>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97" w:name="是否有旋涡区"/>
            <w:r>
              <w:rPr>
                <w:rFonts w:ascii="宋体" w:hAnsi="宋体" w:cs="宋体"/>
                <w:color w:val="000000"/>
                <w:sz w:val="22"/>
                <w:szCs w:val="22"/>
                <w:lang w:val="en-US"/>
              </w:rPr>
              <w:t>否</w:t>
            </w:r>
            <w:bookmarkEnd w:id="97"/>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98" w:name="旋涡区达标判断"/>
            <w:r>
              <w:rPr>
                <w:rFonts w:ascii="宋体" w:hAnsi="宋体" w:cs="宋体"/>
                <w:color w:val="000000"/>
                <w:sz w:val="22"/>
                <w:szCs w:val="22"/>
                <w:lang w:val="en-US"/>
              </w:rPr>
              <w:t>是</w:t>
            </w:r>
            <w:bookmarkEnd w:id="98"/>
          </w:p>
        </w:tc>
      </w:tr>
    </w:tbl>
    <w:p>
      <w:pPr>
        <w:pStyle w:val="3"/>
        <w:ind w:firstLine="420"/>
        <w:rPr>
          <w:lang w:val="en-US"/>
        </w:rPr>
      </w:pPr>
    </w:p>
    <w:p>
      <w:pPr>
        <w:rPr>
          <w:lang w:val="en-US"/>
        </w:rPr>
      </w:pPr>
      <w:bookmarkStart w:id="99" w:name="其他工况"/>
      <w:bookmarkEnd w:id="99"/>
      <w:r>
        <w:rPr>
          <w:rFonts w:hint="eastAsia"/>
          <w:lang w:val="en-US"/>
        </w:rPr>
        <w:t xml:space="preserve"> </w:t>
      </w:r>
    </w:p>
    <w:p>
      <w:pPr>
        <w:pStyle w:val="4"/>
      </w:pPr>
      <w:bookmarkStart w:id="100" w:name="_Toc509844764"/>
      <w:bookmarkStart w:id="101" w:name="_Toc6171"/>
      <w:r>
        <w:rPr>
          <w:rFonts w:hint="eastAsia"/>
        </w:rPr>
        <w:t>结论</w:t>
      </w:r>
      <w:bookmarkEnd w:id="100"/>
      <w:bookmarkEnd w:id="101"/>
    </w:p>
    <w:p>
      <w:pPr>
        <w:pStyle w:val="5"/>
      </w:pPr>
      <w:bookmarkStart w:id="102" w:name="_Toc509844767"/>
      <w:bookmarkEnd w:id="102"/>
      <w:bookmarkStart w:id="103" w:name="_Toc509844768"/>
      <w:bookmarkEnd w:id="103"/>
      <w:bookmarkStart w:id="104" w:name="_Toc509844769"/>
      <w:bookmarkStart w:id="105" w:name="_Toc27696"/>
      <w:r>
        <w:rPr>
          <w:rFonts w:hint="eastAsia"/>
        </w:rPr>
        <w:t>过渡季、夏季工况达标判断</w:t>
      </w:r>
      <w:bookmarkEnd w:id="104"/>
      <w:bookmarkEnd w:id="10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79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，得2分</w:t>
            </w:r>
          </w:p>
        </w:tc>
        <w:tc>
          <w:tcPr>
            <w:tcW w:w="1985" w:type="dxa"/>
            <w:tcBorders>
              <w:top w:val="single" w:color="auto" w:sz="4" w:space="0"/>
            </w:tcBorders>
            <w:shd w:val="clear" w:color="auto" w:fill="auto"/>
            <w:vAlign w:val="center"/>
          </w:tcPr>
          <w:p>
            <w:pPr>
              <w:jc w:val="center"/>
              <w:rPr>
                <w:lang w:val="en-US"/>
              </w:rPr>
            </w:pPr>
            <w:r>
              <w:rPr>
                <w:rFonts w:hint="eastAsia"/>
                <w:lang w:val="en-US"/>
              </w:rPr>
              <w:t>人活动区</w:t>
            </w:r>
            <w:bookmarkStart w:id="106" w:name="夏季无风区结果"/>
            <w:r>
              <w:rPr>
                <w:rFonts w:hint="eastAsia"/>
                <w:lang w:val="en-US"/>
              </w:rPr>
              <w:t>没有</w:t>
            </w:r>
            <w:bookmarkEnd w:id="106"/>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07" w:name="夏季无风区达标判定"/>
            <w:r>
              <w:rPr>
                <w:rFonts w:hint="eastAsia"/>
                <w:b/>
                <w:lang w:val="en-US"/>
              </w:rPr>
              <w:t>达标</w:t>
            </w:r>
            <w:bookmarkEnd w:id="10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人活动区</w:t>
            </w:r>
            <w:bookmarkStart w:id="108" w:name="夏季旋涡区结果"/>
            <w:r>
              <w:rPr>
                <w:rFonts w:hint="eastAsia"/>
                <w:lang w:val="en-US"/>
              </w:rPr>
              <w:t>无</w:t>
            </w:r>
            <w:bookmarkEnd w:id="108"/>
            <w:r>
              <w:rPr>
                <w:rFonts w:hint="eastAsia"/>
                <w:lang w:val="en-US"/>
              </w:rPr>
              <w:t>旋涡区</w:t>
            </w:r>
          </w:p>
        </w:tc>
        <w:tc>
          <w:tcPr>
            <w:tcW w:w="1985" w:type="dxa"/>
            <w:vMerge w:val="continue"/>
            <w:shd w:val="clear" w:color="auto" w:fill="auto"/>
          </w:tcPr>
          <w:p>
            <w:pPr>
              <w:jc w:val="center"/>
              <w:rPr>
                <w:lang w:val="en-US"/>
              </w:rPr>
            </w:pP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09" w:name="总得分"/>
      <w:r>
        <w:rPr>
          <w:rFonts w:hint="eastAsia"/>
          <w:lang w:val="en-US"/>
        </w:rPr>
        <w:t>5</w:t>
      </w:r>
      <w:bookmarkEnd w:id="109"/>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MTI1ZjczOWVhZWE0MGI2YmE0MjYzMTQ4YTM4NjQifQ=="/>
  </w:docVars>
  <w:rsids>
    <w:rsidRoot w:val="1C731175"/>
    <w:rsid w:val="00005045"/>
    <w:rsid w:val="0000578F"/>
    <w:rsid w:val="0002001E"/>
    <w:rsid w:val="000219DF"/>
    <w:rsid w:val="00037A4C"/>
    <w:rsid w:val="000678A8"/>
    <w:rsid w:val="00067FD6"/>
    <w:rsid w:val="00070047"/>
    <w:rsid w:val="000723F0"/>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50477"/>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1C73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4" Type="http://schemas.openxmlformats.org/officeDocument/2006/relationships/fontTable" Target="fontTable.xml"/><Relationship Id="rId73" Type="http://schemas.openxmlformats.org/officeDocument/2006/relationships/customXml" Target="../customXml/item1.xml"/><Relationship Id="rId72" Type="http://schemas.openxmlformats.org/officeDocument/2006/relationships/numbering" Target="numbering.xml"/><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715D-0F2C-4E3F-B184-3528F2769687}">
  <ds:schemaRefs/>
</ds:datastoreItem>
</file>

<file path=docProps/app.xml><?xml version="1.0" encoding="utf-8"?>
<Properties xmlns="http://schemas.openxmlformats.org/officeDocument/2006/extended-properties" xmlns:vt="http://schemas.openxmlformats.org/officeDocument/2006/docPropsVTypes">
  <Template>tmp4.dotx</Template>
  <Pages>15</Pages>
  <Words>3696</Words>
  <Characters>4048</Characters>
  <Lines>40</Lines>
  <Paragraphs>11</Paragraphs>
  <TotalTime>0</TotalTime>
  <ScaleCrop>false</ScaleCrop>
  <LinksUpToDate>false</LinksUpToDate>
  <CharactersWithSpaces>4406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2023-03-02T14:45:00Z</dcterms:created>
  <dc:creator>HP</dc:creator>
  <cp:lastModifiedBy>HP</cp:lastModifiedBy>
  <dcterms:modified xsi:type="dcterms:W3CDTF">2023-03-02T14:46:35Z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8E4EFBB5C39D4BFBB09DF3ADFD0E54F2</vt:lpwstr>
  </property>
  <property fmtid="{D5CDD505-2E9C-101B-9397-08002B2CF9AE}" pid="3" name="KSOProductBuildVer">
    <vt:lpwstr>2052-11.1.0.13703</vt:lpwstr>
  </property>
</Properties>
</file>