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内区面积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t>会议室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t>384.75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t>384.75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t>384.75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t>会议室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t>20.25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t>20.25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t>20.25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t>阅览室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t>374.64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t>374.64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t>374.64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t>阅览室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t>892.00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t>892.00</w:t>
            </w:r>
          </w:p>
        </w:tc>
        <w:tc>
          <w:tcPr>
            <w:tcW w:w="198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t>892.00</w:t>
            </w:r>
          </w:p>
        </w:tc>
        <w:tc>
          <w:tcPr>
            <w:tcW w:w="1357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1671.64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1671.64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1671.64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  <w:tcBorders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/>
          </w:tcPr>
          <w:p/>
        </w:tc>
        <w:tc>
          <w:tcPr>
            <w:tcW w:w="1262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4128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8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5" w:name="_GoBack"/>
      <w:bookmarkEnd w:id="5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mFmZjk3MzBlYzI3YWFjZmJjZTcyNDc3NmMyZDcifQ=="/>
  </w:docVars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48D42A5A"/>
    <w:rsid w:val="5AD27BBA"/>
    <w:rsid w:val="764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709</Characters>
  <Lines>6</Lines>
  <Paragraphs>1</Paragraphs>
  <TotalTime>2</TotalTime>
  <ScaleCrop>false</ScaleCrop>
  <LinksUpToDate>false</LinksUpToDate>
  <CharactersWithSpaces>807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26651</cp:lastModifiedBy>
  <dcterms:modified xsi:type="dcterms:W3CDTF">2023-03-06T07:56:03Z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6584EB376E87487F83B32748A272706B</vt:lpwstr>
  </property>
</Properties>
</file>