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具有良好的室内热湿环境。（8分）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7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3211"/>
        <w:gridCol w:w="1077"/>
        <w:gridCol w:w="1576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659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7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490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991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自然通风、复合通风：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主要功能房间室内热环境参数在适应性热舒适区域的时间比例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005000710"/>
            <w:placeholder>
              <w:docPart w:val="416ECF8F39514051976851404AD8E9E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90%及以上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0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991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人工冷热源：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主要功能房间达到现行国家标准《民用建筑室内热湿环境评价标准》规定的室内人工冷热源热湿环境整体评价II级面积比例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请对室内热湿环境及热舒适保持时间进行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）暖通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及设计说明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hint="eastAsia" w:ascii="Times New Roman" w:hAnsi="Times New Roman" w:eastAsia="宋体" w:cs="Times New Roman"/>
          <w:szCs w:val="21"/>
        </w:rPr>
        <w:t>室内温度模拟分析报告和舒适温度预计达标比例分析报告；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2）预计达标比例计算报告或室内热湿环境实测值及PMV和PPD达标比例计算报告；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室内温度模拟分析报告；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）舒适温度预计达标比例分析报告。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mFmZjk3MzBlYzI3YWFjZmJjZTcyNDc3NmMyZDcifQ=="/>
  </w:docVars>
  <w:rsids>
    <w:rsidRoot w:val="00916669"/>
    <w:rsid w:val="00074A38"/>
    <w:rsid w:val="002D352E"/>
    <w:rsid w:val="006B4DEB"/>
    <w:rsid w:val="006C3B50"/>
    <w:rsid w:val="00916669"/>
    <w:rsid w:val="00E33D0B"/>
    <w:rsid w:val="2F2A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16ECF8F39514051976851404AD8E9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26BEC5-8450-4A6B-A7DD-0721268C3AC6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21"/>
    <w:rsid w:val="006B0DD9"/>
    <w:rsid w:val="00751386"/>
    <w:rsid w:val="00901E7A"/>
    <w:rsid w:val="00AF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416ECF8F39514051976851404AD8E9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6FA6BF60D5E4C0C8F37E31379BC942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7BBD57EAF714CB19FE1F8380E710A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345</Characters>
  <Lines>3</Lines>
  <Paragraphs>1</Paragraphs>
  <TotalTime>2</TotalTime>
  <ScaleCrop>false</ScaleCrop>
  <LinksUpToDate>false</LinksUpToDate>
  <CharactersWithSpaces>351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2019-07-12T07:54:00Z</dcterms:created>
  <dc:creator>dongYP</dc:creator>
  <cp:lastModifiedBy>26651</cp:lastModifiedBy>
  <dcterms:modified xsi:type="dcterms:W3CDTF">2023-03-06T07:58:09Z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87C7370274DF47218B16952518A0A78C</vt:lpwstr>
  </property>
</Properties>
</file>