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bookmarkStart w:id="18" w:name="_GoBack"/>
      <w:bookmarkEnd w:id="18"/>
      <w:r>
        <w:rPr>
          <w:rFonts w:hint="eastAsia" w:ascii="黑体" w:hAnsi="宋体" w:eastAsia="黑体"/>
          <w:b/>
          <w:bCs/>
          <w:sz w:val="72"/>
          <w:szCs w:val="72"/>
        </w:rPr>
        <w:t>结露检查计算书</w:t>
      </w:r>
    </w:p>
    <w:p>
      <w:pPr>
        <w:jc w:val="center"/>
        <w:rPr>
          <w:rFonts w:ascii="宋体" w:hAnsi="宋体"/>
          <w:bCs/>
          <w:szCs w:val="18"/>
        </w:rPr>
      </w:pPr>
      <w:bookmarkStart w:id="0" w:name="二维码"/>
      <w:bookmarkEnd w:id="0"/>
    </w:p>
    <w:p>
      <w:pPr>
        <w:jc w:val="center"/>
        <w:rPr>
          <w:rFonts w:ascii="宋体" w:hAnsi="宋体"/>
          <w:bCs/>
          <w:szCs w:val="18"/>
        </w:rPr>
      </w:pP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 w:name="_Toc316568035"/>
      <w:r>
        <w:rPr>
          <w:rFonts w:hint="eastAsia"/>
        </w:rPr>
        <w:t>建筑概况</w:t>
      </w:r>
      <w:bookmarkEnd w:id="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2" w:name="工程名称"/>
            <w:r>
              <w:t>新建项目</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3" w:name="工程地点"/>
            <w:r>
              <w:t>四川-成都</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4" w:name="气候分区"/>
            <w:r>
              <w:t>夏热冬冷A区</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5" w:name="地上建筑面积"/>
            <w:r>
              <w:rPr>
                <w:rFonts w:hint="eastAsia" w:ascii="宋体" w:hAnsi="宋体"/>
                <w:lang w:val="en-US"/>
              </w:rPr>
              <w:t>12625</w:t>
            </w:r>
            <w:bookmarkEnd w:id="5"/>
            <w:r>
              <w:rPr>
                <w:rFonts w:hint="eastAsia" w:ascii="宋体" w:hAnsi="宋体"/>
              </w:rPr>
              <w:t>㎡</w:t>
            </w:r>
            <w:r>
              <w:rPr>
                <w:rFonts w:hint="eastAsia" w:ascii="宋体" w:hAnsi="宋体"/>
                <w:lang w:val="en-US"/>
              </w:rPr>
              <w:t xml:space="preserve">    地下</w:t>
            </w:r>
            <w:bookmarkStart w:id="6" w:name="地下建筑面积"/>
            <w:r>
              <w:rPr>
                <w:rFonts w:hint="eastAsia" w:ascii="宋体" w:hAnsi="宋体"/>
                <w:lang w:val="en-US"/>
              </w:rPr>
              <w:t>0</w:t>
            </w:r>
            <w:bookmarkEnd w:id="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7" w:name="地上建筑层数"/>
            <w:r>
              <w:rPr>
                <w:rFonts w:hint="eastAsia" w:ascii="宋体" w:hAnsi="宋体"/>
                <w:lang w:val="en-US"/>
              </w:rPr>
              <w:t>4</w:t>
            </w:r>
            <w:bookmarkEnd w:id="7"/>
            <w:r>
              <w:rPr>
                <w:rFonts w:hint="eastAsia" w:ascii="宋体" w:hAnsi="宋体"/>
                <w:lang w:val="en-US"/>
              </w:rPr>
              <w:t xml:space="preserve">          地下</w:t>
            </w:r>
            <w:bookmarkStart w:id="8" w:name="地下建筑层数"/>
            <w:r>
              <w:t>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9" w:name="地上建筑高度"/>
            <w:r>
              <w:rPr>
                <w:rFonts w:hint="eastAsia" w:ascii="宋体" w:hAnsi="宋体"/>
                <w:lang w:val="en-US"/>
              </w:rPr>
              <w:t>15.6</w:t>
            </w:r>
            <w:bookmarkEnd w:id="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0" w:name="结构类型"/>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1" w:name="累年最低日平均温度"/>
            <w:r>
              <w:t>0.7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2" w:name="采暖期室外计算温度"/>
            <w:r>
              <w:t>3.8</w:t>
            </w:r>
            <w:bookmarkEnd w:id="12"/>
          </w:p>
        </w:tc>
      </w:tr>
    </w:tbl>
    <w:p>
      <w:pPr>
        <w:pStyle w:val="2"/>
      </w:pPr>
      <w:bookmarkStart w:id="13" w:name="_Toc316568036"/>
      <w:bookmarkStart w:id="14" w:name="TitleFormat"/>
      <w:r>
        <w:rPr>
          <w:rFonts w:hint="eastAsia"/>
        </w:rPr>
        <w:t>评价依据</w:t>
      </w:r>
      <w:bookmarkEnd w:id="13"/>
    </w:p>
    <w:bookmarkEnd w:id="14"/>
    <w:p>
      <w:pPr>
        <w:widowControl w:val="0"/>
        <w:jc w:val="both"/>
        <w:rPr>
          <w:kern w:val="2"/>
          <w:szCs w:val="24"/>
          <w:lang w:val="en-US"/>
        </w:rPr>
      </w:pPr>
      <w:r>
        <w:rPr>
          <w:rFonts w:hint="eastAsia"/>
          <w:kern w:val="2"/>
          <w:szCs w:val="24"/>
          <w:lang w:val="en-US"/>
        </w:rPr>
        <w:t xml:space="preserve">1. </w:t>
      </w:r>
      <w:bookmarkStart w:id="15" w:name="标准名称"/>
      <w:r>
        <w:rPr>
          <w:rFonts w:hint="eastAsia"/>
          <w:kern w:val="2"/>
          <w:szCs w:val="24"/>
          <w:lang w:val="en-US"/>
        </w:rPr>
        <w:t>《四川省公共建筑节能设计标准》DBJ51/143-2020</w:t>
      </w:r>
      <w:bookmarkEnd w:id="15"/>
    </w:p>
    <w:p>
      <w:pPr>
        <w:widowControl w:val="0"/>
        <w:jc w:val="both"/>
        <w:rPr>
          <w:kern w:val="2"/>
          <w:szCs w:val="24"/>
          <w:lang w:val="en-US"/>
        </w:rPr>
      </w:pPr>
      <w:r>
        <w:rPr>
          <w:rFonts w:hint="eastAsia"/>
          <w:kern w:val="2"/>
          <w:szCs w:val="24"/>
          <w:lang w:val="en-US"/>
        </w:rPr>
        <w:t>2. 《建筑环境通用规范》GB</w:t>
      </w:r>
      <w:r>
        <w:rPr>
          <w:kern w:val="2"/>
          <w:szCs w:val="24"/>
          <w:lang w:val="en-US"/>
        </w:rPr>
        <w:t xml:space="preserve"> 55016</w:t>
      </w:r>
    </w:p>
    <w:p>
      <w:pPr>
        <w:widowControl w:val="0"/>
        <w:jc w:val="both"/>
        <w:rPr>
          <w:kern w:val="2"/>
          <w:lang w:val="en-US"/>
        </w:rPr>
      </w:pPr>
      <w:r>
        <w:rPr>
          <w:rFonts w:hint="eastAsia"/>
          <w:kern w:val="2"/>
          <w:szCs w:val="24"/>
          <w:lang w:val="en-US"/>
        </w:rPr>
        <w:t xml:space="preserve">3. </w:t>
      </w:r>
      <w:bookmarkStart w:id="16" w:name="地方绿建评价标准"/>
      <w:r>
        <w:rPr>
          <w:rFonts w:hint="eastAsia"/>
          <w:kern w:val="2"/>
          <w:szCs w:val="24"/>
          <w:lang w:val="en-US"/>
        </w:rPr>
        <w:t>《绿色建筑评价标准》GB/T 50378-2019</w:t>
      </w:r>
      <w:bookmarkEnd w:id="16"/>
    </w:p>
    <w:p>
      <w:pPr>
        <w:widowControl w:val="0"/>
        <w:jc w:val="both"/>
        <w:rPr>
          <w:kern w:val="2"/>
          <w:lang w:val="en-US"/>
        </w:rPr>
      </w:pPr>
      <w:r>
        <w:rPr>
          <w:rFonts w:hint="eastAsia"/>
          <w:kern w:val="2"/>
          <w:szCs w:val="24"/>
          <w:lang w:val="en-US"/>
        </w:rPr>
        <w:t>4. 《民用建筑热工设计规范》GB50176</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《建筑环境通用规范》GB</w:t>
      </w:r>
      <w:r>
        <w:rPr>
          <w:kern w:val="2"/>
          <w:szCs w:val="24"/>
          <w:lang w:val="en-US"/>
        </w:rPr>
        <w:t xml:space="preserve"> 55016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r>
        <w:rPr>
          <w:rFonts w:hint="eastAsia" w:cs="宋体"/>
        </w:rPr>
        <w:t>。</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17" w:name="地方绿建评价标准：1"/>
      <w:r>
        <w:rPr>
          <w:rFonts w:ascii="宋体" w:hAnsi="宋体"/>
          <w:kern w:val="2"/>
          <w:szCs w:val="21"/>
          <w:lang w:val="en-US"/>
        </w:rPr>
        <w:t>《绿色建筑评价标准》GB/T 50378-2019</w:t>
      </w:r>
      <w:bookmarkEnd w:id="1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5"/>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0"/>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7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四川-成都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岩棉板（ρ=60~160）</w:t>
            </w:r>
          </w:p>
        </w:tc>
        <w:tc>
          <w:tcPr>
            <w:tcW w:w="1018" w:type="dxa"/>
            <w:vAlign w:val="center"/>
          </w:tcPr>
          <w:p>
            <w:r>
              <w:t>110</w:t>
            </w:r>
          </w:p>
        </w:tc>
        <w:tc>
          <w:tcPr>
            <w:tcW w:w="1086" w:type="dxa"/>
            <w:vAlign w:val="center"/>
          </w:tcPr>
          <w:p>
            <w:r>
              <w:t>0.041</w:t>
            </w:r>
          </w:p>
        </w:tc>
        <w:tc>
          <w:tcPr>
            <w:tcW w:w="1120" w:type="dxa"/>
            <w:vAlign w:val="center"/>
          </w:tcPr>
          <w:p>
            <w:r>
              <w:t>0.615</w:t>
            </w:r>
          </w:p>
        </w:tc>
        <w:tc>
          <w:tcPr>
            <w:tcW w:w="1131" w:type="dxa"/>
            <w:vAlign w:val="center"/>
          </w:tcPr>
          <w:p>
            <w:r>
              <w:t>2.683</w:t>
            </w:r>
          </w:p>
        </w:tc>
        <w:tc>
          <w:tcPr>
            <w:tcW w:w="1188" w:type="dxa"/>
            <w:vAlign w:val="center"/>
          </w:tcPr>
          <w:p>
            <w:r>
              <w:t>1.650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120</w:t>
            </w:r>
          </w:p>
        </w:tc>
        <w:tc>
          <w:tcPr>
            <w:tcW w:w="1086" w:type="dxa"/>
            <w:vAlign w:val="center"/>
          </w:tcPr>
          <w:p>
            <w:r>
              <w:t>1.740</w:t>
            </w:r>
          </w:p>
        </w:tc>
        <w:tc>
          <w:tcPr>
            <w:tcW w:w="1120" w:type="dxa"/>
            <w:vAlign w:val="center"/>
          </w:tcPr>
          <w:p>
            <w:r>
              <w:t>17.200</w:t>
            </w:r>
          </w:p>
        </w:tc>
        <w:tc>
          <w:tcPr>
            <w:tcW w:w="1131" w:type="dxa"/>
            <w:vAlign w:val="center"/>
          </w:tcPr>
          <w:p>
            <w:r>
              <w:t>0.069</w:t>
            </w:r>
          </w:p>
        </w:tc>
        <w:tc>
          <w:tcPr>
            <w:tcW w:w="1188"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18002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2"/>
                          <a:stretch>
                            <a:fillRect/>
                          </a:stretch>
                        </pic:blipFill>
                        <pic:spPr>
                          <a:xfrm>
                            <a:off x="0" y="0"/>
                            <a:ext cx="2962275" cy="1800225"/>
                          </a:xfrm>
                          <a:prstGeom prst="rect">
                            <a:avLst/>
                          </a:prstGeom>
                        </pic:spPr>
                      </pic:pic>
                    </a:graphicData>
                  </a:graphic>
                </wp:inline>
              </w:drawing>
            </w:r>
          </w:p>
        </w:tc>
        <w:tc>
          <w:tcPr>
            <w:tcW w:w="4663" w:type="dxa"/>
            <w:vAlign w:val="center"/>
          </w:tcPr>
          <w:p>
            <w:r>
              <w:rPr>
                <w:lang w:val="en-US"/>
              </w:rP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3"/>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14287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4"/>
                          <a:stretch>
                            <a:fillRect/>
                          </a:stretch>
                        </pic:blipFill>
                        <pic:spPr>
                          <a:xfrm>
                            <a:off x="0" y="0"/>
                            <a:ext cx="2962275" cy="1428750"/>
                          </a:xfrm>
                          <a:prstGeom prst="rect">
                            <a:avLst/>
                          </a:prstGeom>
                        </pic:spPr>
                      </pic:pic>
                    </a:graphicData>
                  </a:graphic>
                </wp:inline>
              </w:drawing>
            </w:r>
          </w:p>
        </w:tc>
        <w:tc>
          <w:tcPr>
            <w:tcW w:w="4663" w:type="dxa"/>
            <w:vAlign w:val="center"/>
          </w:tcPr>
          <w:p>
            <w:r>
              <w:rPr>
                <w:lang w:val="en-US"/>
              </w:rP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5"/>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80</w:t>
            </w:r>
          </w:p>
        </w:tc>
        <w:tc>
          <w:tcPr>
            <w:tcW w:w="1086" w:type="dxa"/>
            <w:vAlign w:val="center"/>
          </w:tcPr>
          <w:p>
            <w:r>
              <w:t>1.740</w:t>
            </w:r>
          </w:p>
        </w:tc>
        <w:tc>
          <w:tcPr>
            <w:tcW w:w="1120" w:type="dxa"/>
            <w:vAlign w:val="center"/>
          </w:tcPr>
          <w:p>
            <w:r>
              <w:t>17.200</w:t>
            </w:r>
          </w:p>
        </w:tc>
        <w:tc>
          <w:tcPr>
            <w:tcW w:w="1131" w:type="dxa"/>
            <w:vAlign w:val="center"/>
          </w:tcPr>
          <w:p>
            <w:r>
              <w:t>0.046</w:t>
            </w:r>
          </w:p>
        </w:tc>
        <w:tc>
          <w:tcPr>
            <w:tcW w:w="1188" w:type="dxa"/>
            <w:vAlign w:val="center"/>
          </w:tcPr>
          <w:p>
            <w:r>
              <w:t>0.791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45</w:t>
            </w:r>
          </w:p>
        </w:tc>
        <w:tc>
          <w:tcPr>
            <w:tcW w:w="1086" w:type="dxa"/>
            <w:vAlign w:val="center"/>
          </w:tcPr>
          <w:p>
            <w:r>
              <w:t>0.030</w:t>
            </w:r>
          </w:p>
        </w:tc>
        <w:tc>
          <w:tcPr>
            <w:tcW w:w="1120" w:type="dxa"/>
            <w:vAlign w:val="center"/>
          </w:tcPr>
          <w:p>
            <w:r>
              <w:t>0.320</w:t>
            </w:r>
          </w:p>
        </w:tc>
        <w:tc>
          <w:tcPr>
            <w:tcW w:w="1131" w:type="dxa"/>
            <w:vAlign w:val="center"/>
          </w:tcPr>
          <w:p>
            <w:r>
              <w:t>1.500</w:t>
            </w:r>
          </w:p>
        </w:tc>
        <w:tc>
          <w:tcPr>
            <w:tcW w:w="1188" w:type="dxa"/>
            <w:vAlign w:val="center"/>
          </w:tcPr>
          <w:p>
            <w:r>
              <w:t>0.480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0.70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
              <w:rPr>
                <w:lang w:val="en-US"/>
              </w:rP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蒸压粉煤灰加气混凝土块</w:t>
            </w:r>
          </w:p>
        </w:tc>
        <w:tc>
          <w:tcPr>
            <w:tcW w:w="1018" w:type="dxa"/>
            <w:vAlign w:val="center"/>
          </w:tcPr>
          <w:p>
            <w:r>
              <w:t>150</w:t>
            </w:r>
          </w:p>
        </w:tc>
        <w:tc>
          <w:tcPr>
            <w:tcW w:w="1086" w:type="dxa"/>
            <w:vAlign w:val="center"/>
          </w:tcPr>
          <w:p>
            <w:r>
              <w:t>0.140</w:t>
            </w:r>
          </w:p>
        </w:tc>
        <w:tc>
          <w:tcPr>
            <w:tcW w:w="1120" w:type="dxa"/>
            <w:vAlign w:val="center"/>
          </w:tcPr>
          <w:p>
            <w:r>
              <w:t>2.256</w:t>
            </w:r>
          </w:p>
        </w:tc>
        <w:tc>
          <w:tcPr>
            <w:tcW w:w="1131" w:type="dxa"/>
            <w:vAlign w:val="center"/>
          </w:tcPr>
          <w:p>
            <w:r>
              <w:t>1.071</w:t>
            </w:r>
          </w:p>
        </w:tc>
        <w:tc>
          <w:tcPr>
            <w:tcW w:w="1188" w:type="dxa"/>
            <w:vAlign w:val="center"/>
          </w:tcPr>
          <w:p>
            <w:r>
              <w:t>2.417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聚苯颗粒保温浆料(ρ=230)</w:t>
            </w:r>
          </w:p>
        </w:tc>
        <w:tc>
          <w:tcPr>
            <w:tcW w:w="1018" w:type="dxa"/>
            <w:vAlign w:val="center"/>
          </w:tcPr>
          <w:p>
            <w:r>
              <w:t>32</w:t>
            </w:r>
          </w:p>
        </w:tc>
        <w:tc>
          <w:tcPr>
            <w:tcW w:w="1086" w:type="dxa"/>
            <w:vAlign w:val="center"/>
          </w:tcPr>
          <w:p>
            <w:r>
              <w:t>0.060</w:t>
            </w:r>
          </w:p>
        </w:tc>
        <w:tc>
          <w:tcPr>
            <w:tcW w:w="1120" w:type="dxa"/>
            <w:vAlign w:val="center"/>
          </w:tcPr>
          <w:p>
            <w:r>
              <w:t>1.020</w:t>
            </w:r>
          </w:p>
        </w:tc>
        <w:tc>
          <w:tcPr>
            <w:tcW w:w="1131" w:type="dxa"/>
            <w:vAlign w:val="center"/>
          </w:tcPr>
          <w:p>
            <w:r>
              <w:t>0.533</w:t>
            </w:r>
          </w:p>
        </w:tc>
        <w:tc>
          <w:tcPr>
            <w:tcW w:w="1188" w:type="dxa"/>
            <w:vAlign w:val="center"/>
          </w:tcPr>
          <w:p>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1.63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rPr>
                <w:lang w:val="en-US"/>
              </w:rPr>
              <w:drawing>
                <wp:inline distT="0" distB="0" distL="0" distR="0">
                  <wp:extent cx="2962275" cy="1809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8"/>
                          <a:stretch>
                            <a:fillRect/>
                          </a:stretch>
                        </pic:blipFill>
                        <pic:spPr>
                          <a:xfrm>
                            <a:off x="0" y="0"/>
                            <a:ext cx="2962275" cy="1809750"/>
                          </a:xfrm>
                          <a:prstGeom prst="rect">
                            <a:avLst/>
                          </a:prstGeom>
                        </pic:spPr>
                      </pic:pic>
                    </a:graphicData>
                  </a:graphic>
                </wp:inline>
              </w:drawing>
            </w:r>
          </w:p>
        </w:tc>
        <w:tc>
          <w:tcPr>
            <w:tcW w:w="4663" w:type="dxa"/>
            <w:vAlign w:val="center"/>
          </w:tcPr>
          <w:p>
            <w:r>
              <w:rPr>
                <w:lang w:val="en-US"/>
              </w:rP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外墙－屋顶</w:t>
            </w:r>
          </w:p>
        </w:tc>
        <w:tc>
          <w:tcPr>
            <w:tcW w:w="1131" w:type="dxa"/>
            <w:vAlign w:val="center"/>
          </w:tcPr>
          <w:p>
            <w:r>
              <w:t>OW-R5</w:t>
            </w:r>
          </w:p>
        </w:tc>
        <w:tc>
          <w:tcPr>
            <w:tcW w:w="1471" w:type="dxa"/>
            <w:vAlign w:val="center"/>
          </w:tcPr>
          <w:p>
            <w:r>
              <w:t>2.84</w:t>
            </w:r>
          </w:p>
        </w:tc>
        <w:tc>
          <w:tcPr>
            <w:tcW w:w="1799" w:type="dxa"/>
            <w:vAlign w:val="center"/>
          </w:tcPr>
          <w:p>
            <w:r>
              <w:t>1.63</w:t>
            </w:r>
          </w:p>
        </w:tc>
        <w:tc>
          <w:tcPr>
            <w:tcW w:w="1709" w:type="dxa"/>
            <w:vAlign w:val="center"/>
          </w:tcPr>
          <w:p>
            <w:r>
              <w:t>15.00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外墙－窗左右口</w:t>
            </w:r>
          </w:p>
        </w:tc>
        <w:tc>
          <w:tcPr>
            <w:tcW w:w="1131" w:type="dxa"/>
            <w:vAlign w:val="center"/>
          </w:tcPr>
          <w:p>
            <w:r>
              <w:t>OW-WR4</w:t>
            </w:r>
          </w:p>
        </w:tc>
        <w:tc>
          <w:tcPr>
            <w:tcW w:w="1471" w:type="dxa"/>
            <w:vAlign w:val="center"/>
          </w:tcPr>
          <w:p>
            <w:r>
              <w:t>2.96</w:t>
            </w:r>
          </w:p>
        </w:tc>
        <w:tc>
          <w:tcPr>
            <w:tcW w:w="1799" w:type="dxa"/>
            <w:vAlign w:val="center"/>
          </w:tcPr>
          <w:p>
            <w:r>
              <w:t>1.63</w:t>
            </w:r>
          </w:p>
        </w:tc>
        <w:tc>
          <w:tcPr>
            <w:tcW w:w="1709" w:type="dxa"/>
            <w:vAlign w:val="center"/>
          </w:tcPr>
          <w:p>
            <w:r>
              <w:t>15.27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外墙－窗上口</w:t>
            </w:r>
          </w:p>
        </w:tc>
        <w:tc>
          <w:tcPr>
            <w:tcW w:w="1131" w:type="dxa"/>
            <w:vAlign w:val="center"/>
          </w:tcPr>
          <w:p>
            <w:r>
              <w:t>OW-WU4</w:t>
            </w:r>
          </w:p>
        </w:tc>
        <w:tc>
          <w:tcPr>
            <w:tcW w:w="1471" w:type="dxa"/>
            <w:vAlign w:val="center"/>
          </w:tcPr>
          <w:p>
            <w:r>
              <w:t>2.96</w:t>
            </w:r>
          </w:p>
        </w:tc>
        <w:tc>
          <w:tcPr>
            <w:tcW w:w="1799" w:type="dxa"/>
            <w:vAlign w:val="center"/>
          </w:tcPr>
          <w:p>
            <w:r>
              <w:t>1.63</w:t>
            </w:r>
          </w:p>
        </w:tc>
        <w:tc>
          <w:tcPr>
            <w:tcW w:w="1709" w:type="dxa"/>
            <w:vAlign w:val="center"/>
          </w:tcPr>
          <w:p>
            <w:r>
              <w:t>15.27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外墙－窗下口</w:t>
            </w:r>
          </w:p>
        </w:tc>
        <w:tc>
          <w:tcPr>
            <w:tcW w:w="1131" w:type="dxa"/>
            <w:vAlign w:val="center"/>
          </w:tcPr>
          <w:p>
            <w:r>
              <w:t>OW-WB8</w:t>
            </w:r>
          </w:p>
        </w:tc>
        <w:tc>
          <w:tcPr>
            <w:tcW w:w="1471" w:type="dxa"/>
            <w:vAlign w:val="center"/>
          </w:tcPr>
          <w:p>
            <w:r>
              <w:t>2.96</w:t>
            </w:r>
          </w:p>
        </w:tc>
        <w:tc>
          <w:tcPr>
            <w:tcW w:w="1799" w:type="dxa"/>
            <w:vAlign w:val="center"/>
          </w:tcPr>
          <w:p>
            <w:r>
              <w:t>1.63</w:t>
            </w:r>
          </w:p>
        </w:tc>
        <w:tc>
          <w:tcPr>
            <w:tcW w:w="1709" w:type="dxa"/>
            <w:vAlign w:val="center"/>
          </w:tcPr>
          <w:p>
            <w:r>
              <w:t>15.14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外墙－凸墙角</w:t>
            </w:r>
          </w:p>
        </w:tc>
        <w:tc>
          <w:tcPr>
            <w:tcW w:w="1131" w:type="dxa"/>
            <w:vAlign w:val="center"/>
          </w:tcPr>
          <w:p>
            <w:r>
              <w:t>OW-C1</w:t>
            </w:r>
          </w:p>
        </w:tc>
        <w:tc>
          <w:tcPr>
            <w:tcW w:w="1471" w:type="dxa"/>
            <w:vAlign w:val="center"/>
          </w:tcPr>
          <w:p>
            <w:r>
              <w:t>2.96</w:t>
            </w:r>
          </w:p>
        </w:tc>
        <w:tc>
          <w:tcPr>
            <w:tcW w:w="1799" w:type="dxa"/>
            <w:vAlign w:val="center"/>
          </w:tcPr>
          <w:p>
            <w:r>
              <w:t>1.63</w:t>
            </w:r>
          </w:p>
        </w:tc>
        <w:tc>
          <w:tcPr>
            <w:tcW w:w="1709" w:type="dxa"/>
            <w:vAlign w:val="center"/>
          </w:tcPr>
          <w:p>
            <w:r>
              <w:t>14.98</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外墙－凹墙角</w:t>
            </w:r>
          </w:p>
        </w:tc>
        <w:tc>
          <w:tcPr>
            <w:tcW w:w="1131" w:type="dxa"/>
            <w:vAlign w:val="center"/>
          </w:tcPr>
          <w:p>
            <w:r>
              <w:t>OW-C2</w:t>
            </w:r>
          </w:p>
        </w:tc>
        <w:tc>
          <w:tcPr>
            <w:tcW w:w="1471" w:type="dxa"/>
            <w:vAlign w:val="center"/>
          </w:tcPr>
          <w:p>
            <w:r>
              <w:t>2.96</w:t>
            </w:r>
          </w:p>
        </w:tc>
        <w:tc>
          <w:tcPr>
            <w:tcW w:w="1799" w:type="dxa"/>
            <w:vAlign w:val="center"/>
          </w:tcPr>
          <w:p>
            <w:r>
              <w:t>1.63</w:t>
            </w:r>
          </w:p>
        </w:tc>
        <w:tc>
          <w:tcPr>
            <w:tcW w:w="1709" w:type="dxa"/>
            <w:vAlign w:val="center"/>
          </w:tcPr>
          <w:p>
            <w:r>
              <w:t>14.98</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OW-F1</w:t>
            </w:r>
          </w:p>
        </w:tc>
        <w:tc>
          <w:tcPr>
            <w:tcW w:w="1471" w:type="dxa"/>
            <w:vAlign w:val="center"/>
          </w:tcPr>
          <w:p>
            <w:r>
              <w:t>2.96</w:t>
            </w:r>
          </w:p>
        </w:tc>
        <w:tc>
          <w:tcPr>
            <w:tcW w:w="1799" w:type="dxa"/>
            <w:vAlign w:val="center"/>
          </w:tcPr>
          <w:p>
            <w:r>
              <w:t>1.63</w:t>
            </w:r>
          </w:p>
        </w:tc>
        <w:tc>
          <w:tcPr>
            <w:tcW w:w="1709" w:type="dxa"/>
            <w:vAlign w:val="center"/>
          </w:tcPr>
          <w:p>
            <w:r>
              <w:t>15.75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OW-FW2</w:t>
            </w:r>
          </w:p>
        </w:tc>
        <w:tc>
          <w:tcPr>
            <w:tcW w:w="1471" w:type="dxa"/>
            <w:vAlign w:val="center"/>
          </w:tcPr>
          <w:p>
            <w:r>
              <w:t>1.27</w:t>
            </w:r>
          </w:p>
        </w:tc>
        <w:tc>
          <w:tcPr>
            <w:tcW w:w="1799" w:type="dxa"/>
            <w:vAlign w:val="center"/>
          </w:tcPr>
          <w:p>
            <w:r>
              <w:t>0.70</w:t>
            </w:r>
          </w:p>
        </w:tc>
        <w:tc>
          <w:tcPr>
            <w:tcW w:w="1709" w:type="dxa"/>
            <w:vAlign w:val="center"/>
          </w:tcPr>
          <w:p>
            <w:r>
              <w:t>12.20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外墙－内隔墙</w:t>
            </w:r>
          </w:p>
        </w:tc>
        <w:tc>
          <w:tcPr>
            <w:tcW w:w="1131" w:type="dxa"/>
            <w:vAlign w:val="center"/>
          </w:tcPr>
          <w:p>
            <w:r>
              <w:t>OW-P1</w:t>
            </w:r>
          </w:p>
        </w:tc>
        <w:tc>
          <w:tcPr>
            <w:tcW w:w="1471" w:type="dxa"/>
            <w:vAlign w:val="center"/>
          </w:tcPr>
          <w:p>
            <w:r>
              <w:t>2.96</w:t>
            </w:r>
          </w:p>
        </w:tc>
        <w:tc>
          <w:tcPr>
            <w:tcW w:w="1799" w:type="dxa"/>
            <w:vAlign w:val="center"/>
          </w:tcPr>
          <w:p>
            <w:r>
              <w:t>1.63</w:t>
            </w:r>
          </w:p>
        </w:tc>
        <w:tc>
          <w:tcPr>
            <w:tcW w:w="1709" w:type="dxa"/>
            <w:vAlign w:val="center"/>
          </w:tcPr>
          <w:p>
            <w:r>
              <w:t>16.80</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2"/>
        <w:rFonts w:ascii="宋体" w:hAnsi="宋体"/>
        <w:szCs w:val="21"/>
      </w:rPr>
      <w:fldChar w:fldCharType="begin"/>
    </w:r>
    <w:r>
      <w:rPr>
        <w:rStyle w:val="22"/>
        <w:rFonts w:ascii="宋体" w:hAnsi="宋体"/>
        <w:szCs w:val="21"/>
      </w:rPr>
      <w:instrText xml:space="preserve"> PAGE </w:instrText>
    </w:r>
    <w:r>
      <w:rPr>
        <w:rStyle w:val="22"/>
        <w:rFonts w:ascii="宋体" w:hAnsi="宋体"/>
        <w:szCs w:val="21"/>
      </w:rPr>
      <w:fldChar w:fldCharType="separate"/>
    </w:r>
    <w:r>
      <w:rPr>
        <w:rStyle w:val="22"/>
        <w:rFonts w:ascii="宋体" w:hAnsi="宋体"/>
        <w:szCs w:val="21"/>
      </w:rPr>
      <w:t>2</w:t>
    </w:r>
    <w:r>
      <w:rPr>
        <w:rStyle w:val="22"/>
        <w:rFonts w:ascii="宋体" w:hAnsi="宋体"/>
        <w:szCs w:val="21"/>
      </w:rPr>
      <w:fldChar w:fldCharType="end"/>
    </w:r>
    <w:r>
      <w:rPr>
        <w:rStyle w:val="22"/>
        <w:rFonts w:hint="eastAsia" w:ascii="宋体" w:hAnsi="宋体"/>
        <w:szCs w:val="21"/>
      </w:rPr>
      <w:t xml:space="preserve"> / </w:t>
    </w:r>
    <w:r>
      <w:rPr>
        <w:rStyle w:val="22"/>
        <w:rFonts w:ascii="宋体" w:hAnsi="宋体"/>
        <w:szCs w:val="21"/>
      </w:rPr>
      <w:fldChar w:fldCharType="begin"/>
    </w:r>
    <w:r>
      <w:rPr>
        <w:rStyle w:val="22"/>
        <w:rFonts w:ascii="宋体" w:hAnsi="宋体"/>
        <w:szCs w:val="21"/>
      </w:rPr>
      <w:instrText xml:space="preserve"> NUMPAGES </w:instrText>
    </w:r>
    <w:r>
      <w:rPr>
        <w:rStyle w:val="22"/>
        <w:rFonts w:ascii="宋体" w:hAnsi="宋体"/>
        <w:szCs w:val="21"/>
      </w:rPr>
      <w:fldChar w:fldCharType="separate"/>
    </w:r>
    <w:r>
      <w:rPr>
        <w:rStyle w:val="22"/>
        <w:rFonts w:ascii="宋体" w:hAnsi="宋体"/>
        <w:szCs w:val="21"/>
      </w:rPr>
      <w:t>4</w:t>
    </w:r>
    <w:r>
      <w:rPr>
        <w:rStyle w:val="22"/>
        <w:rFonts w:ascii="宋体" w:hAnsi="宋体"/>
        <w:szCs w:val="21"/>
      </w:rPr>
      <w:fldChar w:fldCharType="end"/>
    </w:r>
    <w:r>
      <w:rPr>
        <w:rStyle w:val="22"/>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2"/>
        <w:rFonts w:ascii="宋体" w:hAnsi="宋体"/>
        <w:szCs w:val="21"/>
      </w:rPr>
      <w:fldChar w:fldCharType="begin"/>
    </w:r>
    <w:r>
      <w:rPr>
        <w:rStyle w:val="22"/>
        <w:rFonts w:ascii="宋体" w:hAnsi="宋体"/>
        <w:szCs w:val="21"/>
      </w:rPr>
      <w:instrText xml:space="preserve"> PAGE </w:instrText>
    </w:r>
    <w:r>
      <w:rPr>
        <w:rStyle w:val="22"/>
        <w:rFonts w:ascii="宋体" w:hAnsi="宋体"/>
        <w:szCs w:val="21"/>
      </w:rPr>
      <w:fldChar w:fldCharType="separate"/>
    </w:r>
    <w:r>
      <w:rPr>
        <w:rStyle w:val="22"/>
        <w:rFonts w:ascii="宋体" w:hAnsi="宋体"/>
        <w:szCs w:val="21"/>
      </w:rPr>
      <w:t>11</w:t>
    </w:r>
    <w:r>
      <w:rPr>
        <w:rStyle w:val="22"/>
        <w:rFonts w:ascii="宋体" w:hAnsi="宋体"/>
        <w:szCs w:val="21"/>
      </w:rPr>
      <w:fldChar w:fldCharType="end"/>
    </w:r>
    <w:r>
      <w:rPr>
        <w:rStyle w:val="22"/>
        <w:rFonts w:hint="eastAsia" w:ascii="宋体" w:hAnsi="宋体"/>
        <w:szCs w:val="21"/>
      </w:rPr>
      <w:t xml:space="preserve"> / </w:t>
    </w:r>
    <w:r>
      <w:rPr>
        <w:rStyle w:val="22"/>
        <w:rFonts w:ascii="宋体" w:hAnsi="宋体"/>
        <w:szCs w:val="21"/>
      </w:rPr>
      <w:fldChar w:fldCharType="begin"/>
    </w:r>
    <w:r>
      <w:rPr>
        <w:rStyle w:val="22"/>
        <w:rFonts w:ascii="宋体" w:hAnsi="宋体"/>
        <w:szCs w:val="21"/>
      </w:rPr>
      <w:instrText xml:space="preserve"> NUMPAGES </w:instrText>
    </w:r>
    <w:r>
      <w:rPr>
        <w:rStyle w:val="22"/>
        <w:rFonts w:ascii="宋体" w:hAnsi="宋体"/>
        <w:szCs w:val="21"/>
      </w:rPr>
      <w:fldChar w:fldCharType="separate"/>
    </w:r>
    <w:r>
      <w:rPr>
        <w:rStyle w:val="22"/>
        <w:rFonts w:ascii="宋体" w:hAnsi="宋体"/>
        <w:szCs w:val="21"/>
      </w:rPr>
      <w:t>11</w:t>
    </w:r>
    <w:r>
      <w:rPr>
        <w:rStyle w:val="22"/>
        <w:rFonts w:ascii="宋体" w:hAnsi="宋体"/>
        <w:szCs w:val="21"/>
      </w:rPr>
      <w:fldChar w:fldCharType="end"/>
    </w:r>
    <w:r>
      <w:rPr>
        <w:rStyle w:val="22"/>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2"/>
        <w:rFonts w:ascii="宋体" w:hAnsi="宋体"/>
        <w:szCs w:val="21"/>
      </w:rPr>
      <w:fldChar w:fldCharType="begin"/>
    </w:r>
    <w:r>
      <w:rPr>
        <w:rStyle w:val="22"/>
        <w:rFonts w:ascii="宋体" w:hAnsi="宋体"/>
        <w:szCs w:val="21"/>
      </w:rPr>
      <w:instrText xml:space="preserve"> PAGE </w:instrText>
    </w:r>
    <w:r>
      <w:rPr>
        <w:rStyle w:val="22"/>
        <w:rFonts w:ascii="宋体" w:hAnsi="宋体"/>
        <w:szCs w:val="21"/>
      </w:rPr>
      <w:fldChar w:fldCharType="separate"/>
    </w:r>
    <w:r>
      <w:rPr>
        <w:rStyle w:val="22"/>
        <w:rFonts w:ascii="宋体" w:hAnsi="宋体"/>
        <w:szCs w:val="21"/>
      </w:rPr>
      <w:t>2</w:t>
    </w:r>
    <w:r>
      <w:rPr>
        <w:rStyle w:val="22"/>
        <w:rFonts w:ascii="宋体" w:hAnsi="宋体"/>
        <w:szCs w:val="21"/>
      </w:rPr>
      <w:fldChar w:fldCharType="end"/>
    </w:r>
    <w:r>
      <w:rPr>
        <w:rStyle w:val="22"/>
        <w:rFonts w:hint="eastAsia" w:ascii="宋体" w:hAnsi="宋体"/>
        <w:szCs w:val="21"/>
      </w:rPr>
      <w:t xml:space="preserve"> / </w:t>
    </w:r>
    <w:r>
      <w:rPr>
        <w:rStyle w:val="22"/>
        <w:rFonts w:ascii="宋体" w:hAnsi="宋体"/>
        <w:szCs w:val="21"/>
      </w:rPr>
      <w:fldChar w:fldCharType="begin"/>
    </w:r>
    <w:r>
      <w:rPr>
        <w:rStyle w:val="22"/>
        <w:rFonts w:ascii="宋体" w:hAnsi="宋体"/>
        <w:szCs w:val="21"/>
      </w:rPr>
      <w:instrText xml:space="preserve"> NUMPAGES </w:instrText>
    </w:r>
    <w:r>
      <w:rPr>
        <w:rStyle w:val="22"/>
        <w:rFonts w:ascii="宋体" w:hAnsi="宋体"/>
        <w:szCs w:val="21"/>
      </w:rPr>
      <w:fldChar w:fldCharType="separate"/>
    </w:r>
    <w:r>
      <w:rPr>
        <w:rStyle w:val="22"/>
        <w:rFonts w:ascii="宋体" w:hAnsi="宋体"/>
        <w:szCs w:val="21"/>
      </w:rPr>
      <w:t>6</w:t>
    </w:r>
    <w:r>
      <w:rPr>
        <w:rStyle w:val="22"/>
        <w:rFonts w:ascii="宋体" w:hAnsi="宋体"/>
        <w:szCs w:val="21"/>
      </w:rPr>
      <w:fldChar w:fldCharType="end"/>
    </w:r>
    <w:r>
      <w:rPr>
        <w:rStyle w:val="22"/>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WY0YjQzNDQwOWE3ZTc2NDgxOTIyOGZlNWJjNjgifQ=="/>
  </w:docVars>
  <w:rsids>
    <w:rsidRoot w:val="006A0277"/>
    <w:rsid w:val="000730E7"/>
    <w:rsid w:val="0007324E"/>
    <w:rsid w:val="000C650F"/>
    <w:rsid w:val="000E2E24"/>
    <w:rsid w:val="000F7EF2"/>
    <w:rsid w:val="0010335A"/>
    <w:rsid w:val="00122D81"/>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41F38"/>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A0277"/>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C1FCF"/>
    <w:rsid w:val="008F0CC1"/>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2596706E"/>
    <w:rsid w:val="289E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semiHidden/>
    <w:unhideWhenUsed/>
    <w:uiPriority w:val="0"/>
    <w:rPr>
      <w:sz w:val="18"/>
      <w:szCs w:val="18"/>
    </w:rPr>
  </w:style>
  <w:style w:type="paragraph" w:styleId="15">
    <w:name w:val="footer"/>
    <w:basedOn w:val="1"/>
    <w:link w:val="24"/>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页脚 Char"/>
    <w:link w:val="15"/>
    <w:uiPriority w:val="99"/>
    <w:rPr>
      <w:sz w:val="21"/>
      <w:szCs w:val="18"/>
      <w:lang w:val="en-GB"/>
    </w:rPr>
  </w:style>
  <w:style w:type="paragraph" w:styleId="25">
    <w:name w:val="List Paragraph"/>
    <w:basedOn w:val="1"/>
    <w:qFormat/>
    <w:uiPriority w:val="34"/>
    <w:pPr>
      <w:ind w:firstLine="420" w:firstLineChars="200"/>
    </w:pPr>
  </w:style>
  <w:style w:type="character" w:customStyle="1" w:styleId="26">
    <w:name w:val="批注框文本 Char"/>
    <w:basedOn w:val="21"/>
    <w:link w:val="14"/>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bmp"/><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ths</Company>
  <Pages>11</Pages>
  <Words>2529</Words>
  <Characters>4126</Characters>
  <Lines>37</Lines>
  <Paragraphs>10</Paragraphs>
  <TotalTime>0</TotalTime>
  <ScaleCrop>false</ScaleCrop>
  <LinksUpToDate>false</LinksUpToDate>
  <CharactersWithSpaces>4204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2022-12-31T07:00:00Z</dcterms:created>
  <dc:creator>吴佳蓬(二公司建筑三室)</dc:creator>
  <cp:lastModifiedBy>梦回/yl</cp:lastModifiedBy>
  <cp:lastPrinted>1900-12-31T16:00:00Z</cp:lastPrinted>
  <dcterms:modified xsi:type="dcterms:W3CDTF">2023-01-03T12:36:11Z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80C0F3CC5EB3475ABB1BD2787ECA71A7</vt:lpwstr>
  </property>
</Properties>
</file>