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>伏绿轻飨，平疫近韧——后疫情时代高校食堂绿色改造设计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</w:t>
      </w:r>
      <w:r>
        <w:rPr>
          <w:rFonts w:hint="eastAsia"/>
          <w:spacing w:val="4"/>
          <w:u w:val="single"/>
          <w:lang w:val="en-US" w:eastAsia="zh-CN"/>
        </w:rPr>
        <w:t>五四中大道</w:t>
      </w:r>
      <w:r>
        <w:rPr>
          <w:spacing w:val="4"/>
          <w:u w:val="single"/>
          <w:lang w:eastAsia="zh-CN"/>
        </w:rPr>
        <w:t xml:space="preserve">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 xml:space="preserve">14959.4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u w:val="single"/>
          <w:lang w:val="en-US" w:eastAsia="zh-CN"/>
        </w:rPr>
        <w:t>10601</w:t>
      </w:r>
      <w:r>
        <w:rPr>
          <w:rFonts w:hint="eastAsia" w:cs="宋体"/>
          <w:b w:val="0"/>
          <w:bCs w:val="0"/>
          <w:sz w:val="24"/>
          <w:szCs w:val="32"/>
          <w:u w:val="single"/>
          <w:lang w:val="en-US" w:eastAsia="zh-CN"/>
        </w:rPr>
        <w:t xml:space="preserve"> 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</w:t>
      </w:r>
      <w:bookmarkStart w:id="0" w:name="_GoBack"/>
      <w:bookmarkEnd w:id="0"/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/>
          <w:lang w:val="en-US" w:eastAsia="zh-CN"/>
        </w:rPr>
        <w:t>10601</w:t>
      </w:r>
      <w:r>
        <w:rPr>
          <w:rFonts w:ascii="Calibri" w:hAnsi="Calibri" w:eastAsia="Calibri" w:cs="Calibri"/>
          <w:u w:val="single"/>
          <w:lang w:eastAsia="zh-CN"/>
        </w:rPr>
        <w:t xml:space="preserve">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BkYzhlM2FkNGU3ZDNkMjYxM2RjMWI4MGYwNGY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9A321FB"/>
    <w:rsid w:val="6F771567"/>
    <w:rsid w:val="7B79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998</Characters>
  <Lines>10</Lines>
  <Paragraphs>2</Paragraphs>
  <TotalTime>1</TotalTime>
  <ScaleCrop>false</ScaleCrop>
  <LinksUpToDate>false</LinksUpToDate>
  <CharactersWithSpaces>1374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杨行</cp:lastModifiedBy>
  <dcterms:modified xsi:type="dcterms:W3CDTF">2023-03-05T15:08:50Z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82EDA8F12A6F430791942484267AC8AE</vt:lpwstr>
  </property>
</Properties>
</file>