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B4310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18AE7A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EA6D4B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6F8A2C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E148F1A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C2BF79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38556F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3239F3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E5E2B7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374C3D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749E1F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E2DC90" w14:textId="77777777" w:rsidR="00E40C34" w:rsidRPr="00897ADE" w:rsidRDefault="00E40C34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14:paraId="483436DC" w14:textId="77777777" w:rsidR="00E40C34" w:rsidRPr="00897ADE" w:rsidRDefault="00897ADE" w:rsidP="00022519">
      <w:pPr>
        <w:pStyle w:val="1"/>
        <w:jc w:val="center"/>
        <w:rPr>
          <w:rFonts w:ascii="Times New Roman" w:eastAsiaTheme="minorEastAsia" w:hAnsi="Times New Roman"/>
          <w:sz w:val="36"/>
          <w:szCs w:val="36"/>
          <w:lang w:eastAsia="zh-CN"/>
        </w:rPr>
        <w:sectPr w:rsidR="00E40C34" w:rsidRPr="00897ADE">
          <w:type w:val="continuous"/>
          <w:pgSz w:w="11910" w:h="16850"/>
          <w:pgMar w:top="1600" w:right="1680" w:bottom="280" w:left="1680" w:header="720" w:footer="720" w:gutter="0"/>
          <w:cols w:space="720"/>
        </w:sectPr>
      </w:pPr>
      <w:r w:rsidRPr="00897ADE">
        <w:rPr>
          <w:rFonts w:ascii="Times New Roman" w:hAnsi="Times New Roman"/>
          <w:sz w:val="36"/>
          <w:szCs w:val="36"/>
          <w:lang w:eastAsia="zh-CN"/>
        </w:rPr>
        <w:t>可变换功能空间采用灵活隔断的比例计算书</w:t>
      </w:r>
    </w:p>
    <w:p w14:paraId="162978C1" w14:textId="77777777" w:rsidR="00022519" w:rsidRPr="00897ADE" w:rsidRDefault="00022519" w:rsidP="00022519">
      <w:pPr>
        <w:pStyle w:val="1"/>
        <w:rPr>
          <w:rFonts w:ascii="Times New Roman" w:eastAsiaTheme="minorEastAsia" w:hAnsi="Times New Roman"/>
          <w:sz w:val="32"/>
          <w:szCs w:val="32"/>
          <w:lang w:eastAsia="zh-CN"/>
        </w:rPr>
      </w:pPr>
      <w:r w:rsidRPr="00897ADE">
        <w:rPr>
          <w:rFonts w:ascii="Times New Roman" w:hAnsi="Times New Roman" w:cs="Times New Roman" w:hint="eastAsia"/>
          <w:sz w:val="32"/>
          <w:szCs w:val="32"/>
          <w:lang w:eastAsia="zh-CN"/>
        </w:rPr>
        <w:lastRenderedPageBreak/>
        <w:t>1.</w:t>
      </w:r>
      <w:r w:rsidRPr="00897ADE">
        <w:rPr>
          <w:rFonts w:ascii="Times New Roman" w:hAnsi="Times New Roman" w:hint="eastAsia"/>
          <w:sz w:val="32"/>
          <w:szCs w:val="32"/>
          <w:lang w:eastAsia="zh-CN"/>
        </w:rPr>
        <w:t>计算概述</w:t>
      </w:r>
    </w:p>
    <w:p w14:paraId="500A4DFE" w14:textId="77777777" w:rsidR="00022519" w:rsidRPr="00897ADE" w:rsidRDefault="00022519" w:rsidP="00022519">
      <w:pPr>
        <w:pStyle w:val="1"/>
        <w:rPr>
          <w:rFonts w:ascii="Times New Roman" w:eastAsiaTheme="minorEastAsia" w:hAnsi="Times New Roman" w:cs="Times New Roman"/>
          <w:lang w:eastAsia="zh-CN"/>
        </w:rPr>
      </w:pPr>
    </w:p>
    <w:p w14:paraId="365EE6DC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 w:hint="eastAsia"/>
          <w:sz w:val="28"/>
          <w:szCs w:val="28"/>
          <w:lang w:eastAsia="zh-CN"/>
        </w:rPr>
        <w:t>1.1.</w:t>
      </w:r>
      <w:r w:rsidRPr="00897ADE">
        <w:rPr>
          <w:rStyle w:val="a5"/>
          <w:rFonts w:ascii="Times New Roman" w:hAnsi="Times New Roman" w:hint="eastAsia"/>
          <w:sz w:val="28"/>
          <w:szCs w:val="28"/>
          <w:lang w:eastAsia="zh-CN"/>
        </w:rPr>
        <w:t>项目概况</w:t>
      </w:r>
    </w:p>
    <w:p w14:paraId="6B7D89CF" w14:textId="77777777" w:rsidR="00FA18A0" w:rsidRPr="00FA18A0" w:rsidRDefault="00FA18A0" w:rsidP="00FA18A0">
      <w:pPr>
        <w:tabs>
          <w:tab w:val="left" w:pos="605"/>
        </w:tabs>
        <w:ind w:firstLineChars="200" w:firstLine="420"/>
        <w:rPr>
          <w:rFonts w:ascii="Times New Roman" w:hAnsi="Times New Roman" w:cs="宋体" w:hint="eastAsia"/>
          <w:sz w:val="21"/>
          <w:szCs w:val="21"/>
          <w:lang w:eastAsia="zh-CN"/>
        </w:rPr>
      </w:pPr>
      <w:r w:rsidRPr="00FA18A0">
        <w:rPr>
          <w:rFonts w:ascii="Times New Roman" w:hAnsi="Times New Roman" w:cs="宋体" w:hint="eastAsia"/>
          <w:sz w:val="21"/>
          <w:szCs w:val="21"/>
          <w:lang w:eastAsia="zh-CN"/>
        </w:rPr>
        <w:t>本项目位于江西省南昌市</w:t>
      </w:r>
      <w:proofErr w:type="gramStart"/>
      <w:r w:rsidRPr="00FA18A0">
        <w:rPr>
          <w:rFonts w:ascii="Times New Roman" w:hAnsi="Times New Roman" w:cs="宋体" w:hint="eastAsia"/>
          <w:sz w:val="21"/>
          <w:szCs w:val="21"/>
          <w:lang w:eastAsia="zh-CN"/>
        </w:rPr>
        <w:t>红谷滩</w:t>
      </w:r>
      <w:proofErr w:type="gramEnd"/>
      <w:r w:rsidRPr="00FA18A0">
        <w:rPr>
          <w:rFonts w:ascii="Times New Roman" w:hAnsi="Times New Roman" w:cs="宋体" w:hint="eastAsia"/>
          <w:sz w:val="21"/>
          <w:szCs w:val="21"/>
          <w:lang w:eastAsia="zh-CN"/>
        </w:rPr>
        <w:t>新区南昌大学前湖校区，建筑类型为公共建筑，建筑类别为校园食堂类建筑，建筑面积为</w:t>
      </w:r>
      <w:r w:rsidRPr="00FA18A0">
        <w:rPr>
          <w:rFonts w:ascii="Times New Roman" w:hAnsi="Times New Roman" w:cs="宋体" w:hint="eastAsia"/>
          <w:sz w:val="21"/>
          <w:szCs w:val="21"/>
          <w:lang w:eastAsia="zh-CN"/>
        </w:rPr>
        <w:t>10601</w:t>
      </w:r>
      <w:r w:rsidRPr="00FA18A0">
        <w:rPr>
          <w:rFonts w:ascii="Times New Roman" w:hAnsi="Times New Roman" w:cs="宋体" w:hint="eastAsia"/>
          <w:sz w:val="21"/>
          <w:szCs w:val="21"/>
          <w:lang w:eastAsia="zh-CN"/>
        </w:rPr>
        <w:t>㎡，建筑层数为</w:t>
      </w:r>
      <w:r w:rsidRPr="00FA18A0">
        <w:rPr>
          <w:rFonts w:ascii="Times New Roman" w:hAnsi="Times New Roman" w:cs="宋体" w:hint="eastAsia"/>
          <w:sz w:val="21"/>
          <w:szCs w:val="21"/>
          <w:lang w:eastAsia="zh-CN"/>
        </w:rPr>
        <w:t>3</w:t>
      </w:r>
      <w:r w:rsidRPr="00FA18A0">
        <w:rPr>
          <w:rFonts w:ascii="Times New Roman" w:hAnsi="Times New Roman" w:cs="宋体" w:hint="eastAsia"/>
          <w:sz w:val="21"/>
          <w:szCs w:val="21"/>
          <w:lang w:eastAsia="zh-CN"/>
        </w:rPr>
        <w:t>层；本次改造针对南昌大学校园内的主食堂</w:t>
      </w:r>
      <w:r w:rsidRPr="00FA18A0">
        <w:rPr>
          <w:rFonts w:ascii="Times New Roman" w:hAnsi="Times New Roman" w:cs="宋体" w:hint="eastAsia"/>
          <w:sz w:val="21"/>
          <w:szCs w:val="21"/>
          <w:lang w:eastAsia="zh-CN"/>
        </w:rPr>
        <w:t>--</w:t>
      </w:r>
      <w:proofErr w:type="gramStart"/>
      <w:r w:rsidRPr="00FA18A0">
        <w:rPr>
          <w:rFonts w:ascii="Times New Roman" w:hAnsi="Times New Roman" w:cs="宋体" w:hint="eastAsia"/>
          <w:sz w:val="21"/>
          <w:szCs w:val="21"/>
          <w:lang w:eastAsia="zh-CN"/>
        </w:rPr>
        <w:t>一</w:t>
      </w:r>
      <w:proofErr w:type="gramEnd"/>
      <w:r w:rsidRPr="00FA18A0">
        <w:rPr>
          <w:rFonts w:ascii="Times New Roman" w:hAnsi="Times New Roman" w:cs="宋体" w:hint="eastAsia"/>
          <w:sz w:val="21"/>
          <w:szCs w:val="21"/>
          <w:lang w:eastAsia="zh-CN"/>
        </w:rPr>
        <w:t>食堂及其</w:t>
      </w:r>
      <w:proofErr w:type="gramStart"/>
      <w:r w:rsidRPr="00FA18A0">
        <w:rPr>
          <w:rFonts w:ascii="Times New Roman" w:hAnsi="Times New Roman" w:cs="宋体" w:hint="eastAsia"/>
          <w:sz w:val="21"/>
          <w:szCs w:val="21"/>
          <w:lang w:eastAsia="zh-CN"/>
        </w:rPr>
        <w:t>周边慧源片区</w:t>
      </w:r>
      <w:proofErr w:type="gramEnd"/>
      <w:r w:rsidRPr="00FA18A0">
        <w:rPr>
          <w:rFonts w:ascii="Times New Roman" w:hAnsi="Times New Roman" w:cs="宋体" w:hint="eastAsia"/>
          <w:sz w:val="21"/>
          <w:szCs w:val="21"/>
          <w:lang w:eastAsia="zh-CN"/>
        </w:rPr>
        <w:t>，旨在从后疫情与绿色建筑两个方面提升改造</w:t>
      </w:r>
      <w:proofErr w:type="gramStart"/>
      <w:r w:rsidRPr="00FA18A0">
        <w:rPr>
          <w:rFonts w:ascii="Times New Roman" w:hAnsi="Times New Roman" w:cs="宋体" w:hint="eastAsia"/>
          <w:sz w:val="21"/>
          <w:szCs w:val="21"/>
          <w:lang w:eastAsia="zh-CN"/>
        </w:rPr>
        <w:t>一</w:t>
      </w:r>
      <w:proofErr w:type="gramEnd"/>
      <w:r w:rsidRPr="00FA18A0">
        <w:rPr>
          <w:rFonts w:ascii="Times New Roman" w:hAnsi="Times New Roman" w:cs="宋体" w:hint="eastAsia"/>
          <w:sz w:val="21"/>
          <w:szCs w:val="21"/>
          <w:lang w:eastAsia="zh-CN"/>
        </w:rPr>
        <w:t>食堂综合体</w:t>
      </w:r>
      <w:proofErr w:type="gramStart"/>
      <w:r w:rsidRPr="00FA18A0">
        <w:rPr>
          <w:rFonts w:ascii="Times New Roman" w:hAnsi="Times New Roman" w:cs="宋体" w:hint="eastAsia"/>
          <w:sz w:val="21"/>
          <w:szCs w:val="21"/>
          <w:lang w:eastAsia="zh-CN"/>
        </w:rPr>
        <w:t>及慧源片区</w:t>
      </w:r>
      <w:proofErr w:type="gramEnd"/>
      <w:r w:rsidRPr="00FA18A0">
        <w:rPr>
          <w:rFonts w:ascii="Times New Roman" w:hAnsi="Times New Roman" w:cs="宋体" w:hint="eastAsia"/>
          <w:sz w:val="21"/>
          <w:szCs w:val="21"/>
          <w:lang w:eastAsia="zh-CN"/>
        </w:rPr>
        <w:t>，以此带动与辐射校园内更大范围的绿色与健康生长。本次改造的主题是</w:t>
      </w:r>
      <w:r w:rsidRPr="00FA18A0">
        <w:rPr>
          <w:rFonts w:ascii="Times New Roman" w:hAnsi="Times New Roman" w:cs="宋体"/>
          <w:sz w:val="21"/>
          <w:szCs w:val="21"/>
          <w:lang w:eastAsia="zh-CN"/>
        </w:rPr>
        <w:t>“</w:t>
      </w:r>
      <w:r w:rsidRPr="00FA18A0">
        <w:rPr>
          <w:rFonts w:ascii="Times New Roman" w:hAnsi="Times New Roman" w:cs="宋体" w:hint="eastAsia"/>
          <w:sz w:val="21"/>
          <w:szCs w:val="21"/>
          <w:lang w:eastAsia="zh-CN"/>
        </w:rPr>
        <w:t>伏绿轻飨，平</w:t>
      </w:r>
      <w:proofErr w:type="gramStart"/>
      <w:r w:rsidRPr="00FA18A0">
        <w:rPr>
          <w:rFonts w:ascii="Times New Roman" w:hAnsi="Times New Roman" w:cs="宋体" w:hint="eastAsia"/>
          <w:sz w:val="21"/>
          <w:szCs w:val="21"/>
          <w:lang w:eastAsia="zh-CN"/>
        </w:rPr>
        <w:t>疫</w:t>
      </w:r>
      <w:proofErr w:type="gramEnd"/>
      <w:r w:rsidRPr="00FA18A0">
        <w:rPr>
          <w:rFonts w:ascii="Times New Roman" w:hAnsi="Times New Roman" w:cs="宋体" w:hint="eastAsia"/>
          <w:sz w:val="21"/>
          <w:szCs w:val="21"/>
          <w:lang w:eastAsia="zh-CN"/>
        </w:rPr>
        <w:t>近韧</w:t>
      </w:r>
      <w:r w:rsidRPr="00FA18A0">
        <w:rPr>
          <w:rFonts w:ascii="Times New Roman" w:hAnsi="Times New Roman" w:cs="宋体"/>
          <w:sz w:val="21"/>
          <w:szCs w:val="21"/>
          <w:lang w:eastAsia="zh-CN"/>
        </w:rPr>
        <w:t>”</w:t>
      </w:r>
      <w:r w:rsidRPr="00FA18A0">
        <w:rPr>
          <w:rFonts w:ascii="Times New Roman" w:hAnsi="Times New Roman" w:cs="宋体" w:hint="eastAsia"/>
          <w:sz w:val="21"/>
          <w:szCs w:val="21"/>
          <w:lang w:eastAsia="zh-CN"/>
        </w:rPr>
        <w:t>。</w:t>
      </w:r>
    </w:p>
    <w:p w14:paraId="4A1CAA08" w14:textId="77777777" w:rsidR="00FA18A0" w:rsidRPr="00FA18A0" w:rsidRDefault="00FA18A0" w:rsidP="00FA18A0">
      <w:pPr>
        <w:tabs>
          <w:tab w:val="left" w:pos="605"/>
        </w:tabs>
        <w:ind w:firstLineChars="200" w:firstLine="420"/>
        <w:rPr>
          <w:rFonts w:ascii="Times New Roman" w:hAnsi="Times New Roman" w:cs="宋体" w:hint="eastAsia"/>
          <w:sz w:val="21"/>
          <w:szCs w:val="21"/>
          <w:lang w:eastAsia="zh-CN"/>
        </w:rPr>
      </w:pPr>
      <w:r w:rsidRPr="00FA18A0">
        <w:rPr>
          <w:rFonts w:ascii="Times New Roman" w:hAnsi="Times New Roman" w:cs="宋体" w:hint="eastAsia"/>
          <w:sz w:val="21"/>
          <w:szCs w:val="21"/>
          <w:lang w:eastAsia="zh-CN"/>
        </w:rPr>
        <w:t>1.</w:t>
      </w:r>
      <w:r w:rsidRPr="00FA18A0">
        <w:rPr>
          <w:rFonts w:ascii="Times New Roman" w:hAnsi="Times New Roman" w:cs="宋体" w:hint="eastAsia"/>
          <w:sz w:val="21"/>
          <w:szCs w:val="21"/>
          <w:lang w:eastAsia="zh-CN"/>
        </w:rPr>
        <w:t>“伏绿轻飨</w:t>
      </w:r>
      <w:r w:rsidRPr="00FA18A0">
        <w:rPr>
          <w:rFonts w:ascii="Times New Roman" w:hAnsi="Times New Roman" w:cs="宋体"/>
          <w:sz w:val="21"/>
          <w:szCs w:val="21"/>
          <w:lang w:eastAsia="zh-CN"/>
        </w:rPr>
        <w:t>”</w:t>
      </w:r>
      <w:r w:rsidRPr="00FA18A0">
        <w:rPr>
          <w:rFonts w:ascii="Times New Roman" w:hAnsi="Times New Roman" w:cs="宋体" w:hint="eastAsia"/>
          <w:sz w:val="21"/>
          <w:szCs w:val="21"/>
          <w:lang w:eastAsia="zh-CN"/>
        </w:rPr>
        <w:t>意含本次设计改造的绿色建筑方向，即通过主动式与被动式设计相结合，斯维尔软件与其他软件科学模拟，打造一个绿色食堂综合体；</w:t>
      </w:r>
    </w:p>
    <w:p w14:paraId="71CB5ABD" w14:textId="48B3DB09" w:rsidR="00022519" w:rsidRPr="00FA18A0" w:rsidRDefault="00FA18A0" w:rsidP="00FA18A0">
      <w:pPr>
        <w:tabs>
          <w:tab w:val="left" w:pos="605"/>
        </w:tabs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FA18A0">
        <w:rPr>
          <w:rFonts w:ascii="Times New Roman" w:hAnsi="Times New Roman" w:cs="宋体" w:hint="eastAsia"/>
          <w:sz w:val="21"/>
          <w:szCs w:val="21"/>
          <w:lang w:eastAsia="zh-CN"/>
        </w:rPr>
        <w:t>2.</w:t>
      </w:r>
      <w:r w:rsidRPr="00FA18A0">
        <w:rPr>
          <w:rFonts w:ascii="Times New Roman" w:hAnsi="Times New Roman" w:cs="宋体" w:hint="eastAsia"/>
          <w:sz w:val="21"/>
          <w:szCs w:val="21"/>
          <w:lang w:eastAsia="zh-CN"/>
        </w:rPr>
        <w:t>“平</w:t>
      </w:r>
      <w:proofErr w:type="gramStart"/>
      <w:r w:rsidRPr="00FA18A0">
        <w:rPr>
          <w:rFonts w:ascii="Times New Roman" w:hAnsi="Times New Roman" w:cs="宋体" w:hint="eastAsia"/>
          <w:sz w:val="21"/>
          <w:szCs w:val="21"/>
          <w:lang w:eastAsia="zh-CN"/>
        </w:rPr>
        <w:t>疫</w:t>
      </w:r>
      <w:proofErr w:type="gramEnd"/>
      <w:r w:rsidRPr="00FA18A0">
        <w:rPr>
          <w:rFonts w:ascii="Times New Roman" w:hAnsi="Times New Roman" w:cs="宋体" w:hint="eastAsia"/>
          <w:sz w:val="21"/>
          <w:szCs w:val="21"/>
          <w:lang w:eastAsia="zh-CN"/>
        </w:rPr>
        <w:t>近韧</w:t>
      </w:r>
      <w:r w:rsidRPr="00FA18A0">
        <w:rPr>
          <w:rFonts w:ascii="Times New Roman" w:hAnsi="Times New Roman" w:cs="宋体"/>
          <w:sz w:val="21"/>
          <w:szCs w:val="21"/>
          <w:lang w:eastAsia="zh-CN"/>
        </w:rPr>
        <w:t>”</w:t>
      </w:r>
      <w:r w:rsidRPr="00FA18A0">
        <w:rPr>
          <w:rFonts w:ascii="Times New Roman" w:hAnsi="Times New Roman" w:cs="宋体" w:hint="eastAsia"/>
          <w:sz w:val="21"/>
          <w:szCs w:val="21"/>
          <w:lang w:eastAsia="zh-CN"/>
        </w:rPr>
        <w:t>意含本次设计改造的后疫情反向，即通过物理防疫，流线设计，可移动模式等使得</w:t>
      </w:r>
      <w:proofErr w:type="gramStart"/>
      <w:r w:rsidRPr="00FA18A0">
        <w:rPr>
          <w:rFonts w:ascii="Times New Roman" w:hAnsi="Times New Roman" w:cs="宋体" w:hint="eastAsia"/>
          <w:sz w:val="21"/>
          <w:szCs w:val="21"/>
          <w:lang w:eastAsia="zh-CN"/>
        </w:rPr>
        <w:t>一</w:t>
      </w:r>
      <w:proofErr w:type="gramEnd"/>
      <w:r w:rsidRPr="00FA18A0">
        <w:rPr>
          <w:rFonts w:ascii="Times New Roman" w:hAnsi="Times New Roman" w:cs="宋体" w:hint="eastAsia"/>
          <w:sz w:val="21"/>
          <w:szCs w:val="21"/>
          <w:lang w:eastAsia="zh-CN"/>
        </w:rPr>
        <w:t>食堂具备满足平常与疫情状态正常运作的潜力，最大程度满足后疫情下人们的生理与心理双重需求，大大提高校园食堂建筑在后疫情时代下的韧性</w:t>
      </w:r>
    </w:p>
    <w:p w14:paraId="26B954B2" w14:textId="77777777" w:rsidR="00022519" w:rsidRPr="00897ADE" w:rsidRDefault="00022519" w:rsidP="00022519">
      <w:pPr>
        <w:tabs>
          <w:tab w:val="left" w:pos="605"/>
        </w:tabs>
        <w:spacing w:line="360" w:lineRule="auto"/>
        <w:rPr>
          <w:rFonts w:ascii="Times New Roman" w:hAnsi="Times New Roman" w:cs="宋体"/>
          <w:sz w:val="21"/>
          <w:szCs w:val="21"/>
          <w:lang w:eastAsia="zh-CN"/>
        </w:rPr>
      </w:pPr>
    </w:p>
    <w:p w14:paraId="2EF2FE11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1.2.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计算目的</w:t>
      </w:r>
    </w:p>
    <w:p w14:paraId="3B099E01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14:paraId="7AFF5F4E" w14:textId="77777777" w:rsidR="00022519" w:rsidRPr="00897ADE" w:rsidRDefault="00022519" w:rsidP="00022519">
      <w:pPr>
        <w:tabs>
          <w:tab w:val="left" w:pos="290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判断本项目是否满足《绿色建筑评价标准》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GB/T50378-2019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第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4.2.6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条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“</w:t>
      </w:r>
      <w:r w:rsidR="00897ADE" w:rsidRPr="00897ADE">
        <w:rPr>
          <w:rFonts w:ascii="Times New Roman" w:hAnsi="Times New Roman" w:cs="宋体"/>
          <w:sz w:val="21"/>
          <w:szCs w:val="21"/>
          <w:lang w:eastAsia="zh-CN"/>
        </w:rPr>
        <w:t>采取提升建筑</w:t>
      </w:r>
      <w:proofErr w:type="gramStart"/>
      <w:r w:rsidR="00897ADE" w:rsidRPr="00897ADE">
        <w:rPr>
          <w:rFonts w:ascii="Times New Roman" w:hAnsi="Times New Roman" w:cs="宋体"/>
          <w:sz w:val="21"/>
          <w:szCs w:val="21"/>
          <w:lang w:eastAsia="zh-CN"/>
        </w:rPr>
        <w:t>适</w:t>
      </w:r>
      <w:proofErr w:type="gramEnd"/>
      <w:r w:rsidR="00897ADE" w:rsidRPr="00897ADE">
        <w:rPr>
          <w:rFonts w:ascii="Times New Roman" w:hAnsi="Times New Roman" w:cs="宋体"/>
          <w:sz w:val="21"/>
          <w:szCs w:val="21"/>
          <w:lang w:eastAsia="zh-CN"/>
        </w:rPr>
        <w:t>变性的措施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”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。</w:t>
      </w:r>
    </w:p>
    <w:p w14:paraId="31F83676" w14:textId="77777777" w:rsidR="00022519" w:rsidRPr="00897ADE" w:rsidRDefault="00022519" w:rsidP="00022519">
      <w:pPr>
        <w:tabs>
          <w:tab w:val="left" w:pos="290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1A4E21EA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1.3.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计算依据</w:t>
      </w:r>
    </w:p>
    <w:p w14:paraId="4277C7B4" w14:textId="77777777"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《绿色建筑评价技术细则》</w:t>
      </w:r>
    </w:p>
    <w:p w14:paraId="083518FD" w14:textId="77777777"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《绿色建筑评价技术细则补充说明》（规划设计部分）</w:t>
      </w:r>
    </w:p>
    <w:p w14:paraId="780C5828" w14:textId="77777777"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业主提供的建筑设计文件</w:t>
      </w:r>
    </w:p>
    <w:p w14:paraId="0C9EE3DB" w14:textId="77777777"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4697FCA2" w14:textId="77777777" w:rsidR="00022519" w:rsidRPr="00897ADE" w:rsidRDefault="00022519" w:rsidP="00022519">
      <w:pPr>
        <w:pStyle w:val="1"/>
        <w:rPr>
          <w:rFonts w:ascii="Times New Roman" w:eastAsiaTheme="minorEastAsia" w:hAnsi="Times New Roman" w:cs="Times New Roman"/>
          <w:sz w:val="32"/>
          <w:szCs w:val="32"/>
          <w:lang w:eastAsia="zh-CN"/>
        </w:rPr>
      </w:pPr>
      <w:r w:rsidRPr="00897ADE">
        <w:rPr>
          <w:rFonts w:ascii="Times New Roman" w:hAnsi="Times New Roman" w:cs="Times New Roman"/>
          <w:sz w:val="32"/>
          <w:szCs w:val="32"/>
          <w:lang w:eastAsia="zh-CN"/>
        </w:rPr>
        <w:t>2.</w:t>
      </w:r>
      <w:r w:rsidRPr="00897ADE">
        <w:rPr>
          <w:rFonts w:ascii="Times New Roman" w:hAnsi="Times New Roman" w:cs="Times New Roman"/>
          <w:sz w:val="32"/>
          <w:szCs w:val="32"/>
          <w:lang w:eastAsia="zh-CN"/>
        </w:rPr>
        <w:t>计算分析</w:t>
      </w:r>
    </w:p>
    <w:p w14:paraId="4FC3B5E8" w14:textId="77777777" w:rsidR="00022519" w:rsidRPr="00897ADE" w:rsidRDefault="00022519" w:rsidP="00022519">
      <w:pPr>
        <w:pStyle w:val="1"/>
        <w:rPr>
          <w:rFonts w:ascii="Times New Roman" w:eastAsiaTheme="minorEastAsia" w:hAnsi="Times New Roman" w:cs="Times New Roman"/>
          <w:sz w:val="32"/>
          <w:szCs w:val="32"/>
          <w:lang w:eastAsia="zh-CN"/>
        </w:rPr>
      </w:pPr>
    </w:p>
    <w:p w14:paraId="22266411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2.1.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可变换功能的室内空间</w:t>
      </w:r>
    </w:p>
    <w:p w14:paraId="35D9B166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14:paraId="7B776BFE" w14:textId="77777777" w:rsidR="00022519" w:rsidRPr="00897ADE" w:rsidRDefault="00AA127C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noProof/>
          <w:sz w:val="21"/>
          <w:szCs w:val="21"/>
          <w:lang w:eastAsia="zh-CN"/>
        </w:rPr>
        <w:pict w14:anchorId="5C05754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7.45pt;margin-top:41pt;width:106.85pt;height:12.75pt;z-index:251658240" o:connectortype="straight"/>
        </w:pict>
      </w:r>
      <w:r w:rsidR="00022519" w:rsidRPr="00897ADE">
        <w:rPr>
          <w:rFonts w:ascii="Times New Roman" w:hAnsi="Times New Roman" w:cs="宋体"/>
          <w:sz w:val="21"/>
          <w:szCs w:val="21"/>
          <w:lang w:eastAsia="zh-CN"/>
        </w:rPr>
        <w:t>可变换功能的室内空间为总建筑面积减去不可改变功能的室内空间（如走廊、楼梯、电梯井、卫生间、设备用房、公共管井等），本项目此类区域面积如下表。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127"/>
        <w:gridCol w:w="709"/>
        <w:gridCol w:w="709"/>
        <w:gridCol w:w="687"/>
        <w:gridCol w:w="22"/>
      </w:tblGrid>
      <w:tr w:rsidR="00FA18A0" w:rsidRPr="00897ADE" w14:paraId="7E02EC34" w14:textId="77777777" w:rsidTr="00FA18A0">
        <w:trPr>
          <w:jc w:val="center"/>
        </w:trPr>
        <w:tc>
          <w:tcPr>
            <w:tcW w:w="2127" w:type="dxa"/>
            <w:vAlign w:val="center"/>
          </w:tcPr>
          <w:p w14:paraId="2F76FC97" w14:textId="77777777" w:rsidR="00FA18A0" w:rsidRPr="00897ADE" w:rsidRDefault="00FA18A0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02C4F684" w14:textId="62E4A38D" w:rsidR="00FA18A0" w:rsidRPr="00897ADE" w:rsidRDefault="00FA18A0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9" w:type="dxa"/>
            <w:vAlign w:val="center"/>
          </w:tcPr>
          <w:p w14:paraId="5931C845" w14:textId="0B961D5D" w:rsidR="00FA18A0" w:rsidRPr="00897ADE" w:rsidRDefault="00FA18A0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2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9" w:type="dxa"/>
            <w:gridSpan w:val="2"/>
            <w:vAlign w:val="center"/>
          </w:tcPr>
          <w:p w14:paraId="65DCE040" w14:textId="47C8C0F8" w:rsidR="00FA18A0" w:rsidRPr="00897ADE" w:rsidRDefault="00FA18A0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3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</w:tr>
      <w:tr w:rsidR="00FA18A0" w:rsidRPr="00897ADE" w14:paraId="15214ACA" w14:textId="77777777" w:rsidTr="00FA18A0">
        <w:trPr>
          <w:jc w:val="center"/>
        </w:trPr>
        <w:tc>
          <w:tcPr>
            <w:tcW w:w="2127" w:type="dxa"/>
            <w:vAlign w:val="center"/>
          </w:tcPr>
          <w:p w14:paraId="512C8286" w14:textId="77777777" w:rsidR="00FA18A0" w:rsidRPr="00897ADE" w:rsidRDefault="00FA18A0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建筑面积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（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09" w:type="dxa"/>
            <w:vAlign w:val="center"/>
          </w:tcPr>
          <w:p w14:paraId="33981D6E" w14:textId="1499D0AB" w:rsidR="00FA18A0" w:rsidRPr="00897ADE" w:rsidRDefault="00FA18A0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533</w:t>
            </w:r>
          </w:p>
        </w:tc>
        <w:tc>
          <w:tcPr>
            <w:tcW w:w="709" w:type="dxa"/>
            <w:vAlign w:val="center"/>
          </w:tcPr>
          <w:p w14:paraId="6DADDB20" w14:textId="08B738A7" w:rsidR="00FA18A0" w:rsidRPr="00897ADE" w:rsidRDefault="00FA18A0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533</w:t>
            </w:r>
          </w:p>
        </w:tc>
        <w:tc>
          <w:tcPr>
            <w:tcW w:w="709" w:type="dxa"/>
            <w:gridSpan w:val="2"/>
            <w:vAlign w:val="center"/>
          </w:tcPr>
          <w:p w14:paraId="41BC567B" w14:textId="6617A540" w:rsidR="00FA18A0" w:rsidRPr="00897ADE" w:rsidRDefault="00FA18A0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533</w:t>
            </w:r>
          </w:p>
        </w:tc>
      </w:tr>
      <w:tr w:rsidR="00FA18A0" w:rsidRPr="00897ADE" w14:paraId="2596E592" w14:textId="77777777" w:rsidTr="00FA18A0">
        <w:trPr>
          <w:jc w:val="center"/>
        </w:trPr>
        <w:tc>
          <w:tcPr>
            <w:tcW w:w="2127" w:type="dxa"/>
            <w:vAlign w:val="center"/>
          </w:tcPr>
          <w:p w14:paraId="393EEF9D" w14:textId="77777777" w:rsidR="00FA18A0" w:rsidRPr="00897ADE" w:rsidRDefault="00FA18A0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不可变换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709" w:type="dxa"/>
            <w:vAlign w:val="center"/>
          </w:tcPr>
          <w:p w14:paraId="3E7B37C5" w14:textId="3C1118BD" w:rsidR="00FA18A0" w:rsidRPr="00897ADE" w:rsidRDefault="00FA18A0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177</w:t>
            </w:r>
          </w:p>
        </w:tc>
        <w:tc>
          <w:tcPr>
            <w:tcW w:w="709" w:type="dxa"/>
            <w:vAlign w:val="center"/>
          </w:tcPr>
          <w:p w14:paraId="18176353" w14:textId="4C519EE9" w:rsidR="00FA18A0" w:rsidRPr="00897ADE" w:rsidRDefault="00FA18A0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177</w:t>
            </w:r>
          </w:p>
        </w:tc>
        <w:tc>
          <w:tcPr>
            <w:tcW w:w="709" w:type="dxa"/>
            <w:gridSpan w:val="2"/>
            <w:vAlign w:val="center"/>
          </w:tcPr>
          <w:p w14:paraId="544A2A10" w14:textId="2515E1E5" w:rsidR="00FA18A0" w:rsidRPr="00897ADE" w:rsidRDefault="00FA18A0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177</w:t>
            </w:r>
          </w:p>
        </w:tc>
      </w:tr>
      <w:tr w:rsidR="00FA18A0" w:rsidRPr="00897ADE" w14:paraId="69382279" w14:textId="77777777" w:rsidTr="00FA18A0">
        <w:trPr>
          <w:jc w:val="center"/>
        </w:trPr>
        <w:tc>
          <w:tcPr>
            <w:tcW w:w="2127" w:type="dxa"/>
            <w:vAlign w:val="center"/>
          </w:tcPr>
          <w:p w14:paraId="28F1D22E" w14:textId="77777777" w:rsidR="00FA18A0" w:rsidRPr="00897ADE" w:rsidRDefault="00FA18A0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可变换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709" w:type="dxa"/>
            <w:vAlign w:val="center"/>
          </w:tcPr>
          <w:p w14:paraId="6018F4C4" w14:textId="5C6A4E27" w:rsidR="00FA18A0" w:rsidRPr="00897ADE" w:rsidRDefault="00FA18A0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356</w:t>
            </w:r>
          </w:p>
        </w:tc>
        <w:tc>
          <w:tcPr>
            <w:tcW w:w="709" w:type="dxa"/>
            <w:vAlign w:val="center"/>
          </w:tcPr>
          <w:p w14:paraId="3872FD0A" w14:textId="5F47662D" w:rsidR="00FA18A0" w:rsidRPr="00897ADE" w:rsidRDefault="00FA18A0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356</w:t>
            </w:r>
          </w:p>
        </w:tc>
        <w:tc>
          <w:tcPr>
            <w:tcW w:w="709" w:type="dxa"/>
            <w:gridSpan w:val="2"/>
            <w:vAlign w:val="center"/>
          </w:tcPr>
          <w:p w14:paraId="2E622972" w14:textId="437898B8" w:rsidR="00FA18A0" w:rsidRPr="00897ADE" w:rsidRDefault="00FA18A0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356</w:t>
            </w:r>
          </w:p>
        </w:tc>
      </w:tr>
      <w:tr w:rsidR="00FA18A0" w:rsidRPr="00897ADE" w14:paraId="09BEDAF9" w14:textId="77777777" w:rsidTr="00FA18A0">
        <w:trPr>
          <w:gridAfter w:val="1"/>
          <w:wAfter w:w="22" w:type="dxa"/>
          <w:jc w:val="center"/>
        </w:trPr>
        <w:tc>
          <w:tcPr>
            <w:tcW w:w="3545" w:type="dxa"/>
            <w:gridSpan w:val="3"/>
            <w:vAlign w:val="center"/>
          </w:tcPr>
          <w:p w14:paraId="298F5C04" w14:textId="77777777" w:rsidR="00FA18A0" w:rsidRPr="00897ADE" w:rsidRDefault="00FA18A0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可变换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总计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687" w:type="dxa"/>
            <w:vAlign w:val="center"/>
          </w:tcPr>
          <w:p w14:paraId="7BC9DA0B" w14:textId="1EEF6025" w:rsidR="00FA18A0" w:rsidRPr="00897ADE" w:rsidRDefault="00FA18A0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068</w:t>
            </w:r>
          </w:p>
        </w:tc>
      </w:tr>
    </w:tbl>
    <w:p w14:paraId="79E34969" w14:textId="77777777"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1F8441E0" w14:textId="543D6E21" w:rsidR="00900B4A" w:rsidRPr="00897ADE" w:rsidRDefault="00FA18A0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 w:hint="eastAsia"/>
          <w:sz w:val="21"/>
          <w:szCs w:val="21"/>
          <w:lang w:eastAsia="zh-CN"/>
        </w:rPr>
        <w:t>7</w:t>
      </w:r>
      <w:r>
        <w:rPr>
          <w:rFonts w:ascii="Times New Roman" w:hAnsi="Times New Roman" w:cs="宋体"/>
          <w:sz w:val="21"/>
          <w:szCs w:val="21"/>
          <w:lang w:eastAsia="zh-CN"/>
        </w:rPr>
        <w:t>068</w:t>
      </w:r>
    </w:p>
    <w:p w14:paraId="2FDFE440" w14:textId="77777777" w:rsidR="00900B4A" w:rsidRPr="00897ADE" w:rsidRDefault="00900B4A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3B4435BB" w14:textId="77777777" w:rsidR="00900B4A" w:rsidRPr="00897ADE" w:rsidRDefault="00900B4A" w:rsidP="00900B4A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2.2.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灵活隔断的室内空间</w:t>
      </w:r>
    </w:p>
    <w:p w14:paraId="42CE0F8A" w14:textId="77777777" w:rsidR="00900B4A" w:rsidRPr="00897ADE" w:rsidRDefault="00900B4A" w:rsidP="00900B4A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14:paraId="7636FB58" w14:textId="77777777" w:rsidR="00900B4A" w:rsidRPr="00897ADE" w:rsidRDefault="00900B4A" w:rsidP="00900B4A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本项目布置了较多的大开间敞开式办公，部分办公室和会议室必须隔断时，采用玻璃隔断。采用灵活隔断的统计面积如下表。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709"/>
        <w:gridCol w:w="851"/>
        <w:gridCol w:w="708"/>
      </w:tblGrid>
      <w:tr w:rsidR="00FA18A0" w:rsidRPr="00897ADE" w14:paraId="3B427526" w14:textId="77777777" w:rsidTr="00FA18A0">
        <w:trPr>
          <w:jc w:val="center"/>
        </w:trPr>
        <w:tc>
          <w:tcPr>
            <w:tcW w:w="2943" w:type="dxa"/>
            <w:vAlign w:val="center"/>
          </w:tcPr>
          <w:p w14:paraId="3655537C" w14:textId="77777777" w:rsidR="00FA18A0" w:rsidRPr="00897ADE" w:rsidRDefault="00FA18A0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lastRenderedPageBreak/>
              <w:t>楼号</w:t>
            </w:r>
          </w:p>
        </w:tc>
        <w:tc>
          <w:tcPr>
            <w:tcW w:w="709" w:type="dxa"/>
            <w:vAlign w:val="center"/>
          </w:tcPr>
          <w:p w14:paraId="027080E9" w14:textId="62DEE69D" w:rsidR="00FA18A0" w:rsidRPr="00897ADE" w:rsidRDefault="00FA18A0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851" w:type="dxa"/>
            <w:vAlign w:val="center"/>
          </w:tcPr>
          <w:p w14:paraId="310E1B59" w14:textId="067974D8" w:rsidR="00FA18A0" w:rsidRPr="00897ADE" w:rsidRDefault="00FA18A0" w:rsidP="00FA18A0">
            <w:pPr>
              <w:tabs>
                <w:tab w:val="left" w:pos="605"/>
              </w:tabs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2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8" w:type="dxa"/>
            <w:vAlign w:val="center"/>
          </w:tcPr>
          <w:p w14:paraId="053C01BA" w14:textId="67DFFF3A" w:rsidR="00FA18A0" w:rsidRPr="00897ADE" w:rsidRDefault="00FA18A0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2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</w:tr>
      <w:tr w:rsidR="00FA18A0" w:rsidRPr="00897ADE" w14:paraId="040DBE7E" w14:textId="77777777" w:rsidTr="00FA18A0">
        <w:trPr>
          <w:jc w:val="center"/>
        </w:trPr>
        <w:tc>
          <w:tcPr>
            <w:tcW w:w="2943" w:type="dxa"/>
            <w:vAlign w:val="center"/>
          </w:tcPr>
          <w:p w14:paraId="7F94F6C3" w14:textId="77777777" w:rsidR="00FA18A0" w:rsidRPr="00897ADE" w:rsidRDefault="00FA18A0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采用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灵活隔断的面积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709" w:type="dxa"/>
            <w:vAlign w:val="center"/>
          </w:tcPr>
          <w:p w14:paraId="10CB8D61" w14:textId="77777777" w:rsidR="00FA18A0" w:rsidRPr="00897ADE" w:rsidRDefault="00FA18A0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851" w:type="dxa"/>
            <w:vAlign w:val="center"/>
          </w:tcPr>
          <w:p w14:paraId="6BFB8380" w14:textId="50D82BF5" w:rsidR="00FA18A0" w:rsidRPr="00897ADE" w:rsidRDefault="00FA18A0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678.9</w:t>
            </w:r>
          </w:p>
        </w:tc>
        <w:tc>
          <w:tcPr>
            <w:tcW w:w="708" w:type="dxa"/>
            <w:vAlign w:val="center"/>
          </w:tcPr>
          <w:p w14:paraId="2AF0A75C" w14:textId="20EB5E83" w:rsidR="00FA18A0" w:rsidRPr="00897ADE" w:rsidRDefault="00FA18A0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198</w:t>
            </w:r>
          </w:p>
        </w:tc>
      </w:tr>
      <w:tr w:rsidR="00FA18A0" w:rsidRPr="00897ADE" w14:paraId="60F68CEE" w14:textId="77777777" w:rsidTr="00FA18A0">
        <w:trPr>
          <w:jc w:val="center"/>
        </w:trPr>
        <w:tc>
          <w:tcPr>
            <w:tcW w:w="2943" w:type="dxa"/>
            <w:vAlign w:val="center"/>
          </w:tcPr>
          <w:p w14:paraId="1E518E5D" w14:textId="77777777" w:rsidR="00FA18A0" w:rsidRPr="00897ADE" w:rsidRDefault="00FA18A0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合计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268" w:type="dxa"/>
            <w:gridSpan w:val="3"/>
            <w:vAlign w:val="center"/>
          </w:tcPr>
          <w:p w14:paraId="39CF4E2B" w14:textId="205C05E5" w:rsidR="00FA18A0" w:rsidRPr="00897ADE" w:rsidRDefault="00FA18A0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876.9</w:t>
            </w:r>
          </w:p>
        </w:tc>
      </w:tr>
    </w:tbl>
    <w:p w14:paraId="6D8960F9" w14:textId="77777777" w:rsidR="00897ADE" w:rsidRPr="00897ADE" w:rsidRDefault="00897ADE" w:rsidP="00897ADE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14:paraId="4A5A1A7B" w14:textId="77777777" w:rsidR="00897ADE" w:rsidRPr="00897ADE" w:rsidRDefault="00897ADE" w:rsidP="00897ADE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2.3.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灵活隔断的面积比例</w:t>
      </w:r>
    </w:p>
    <w:p w14:paraId="7DB6BB6B" w14:textId="77777777" w:rsidR="00897ADE" w:rsidRPr="00897ADE" w:rsidRDefault="00897ADE" w:rsidP="00897ADE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14:paraId="6640F6CC" w14:textId="51B623A5" w:rsidR="00897ADE" w:rsidRPr="00897ADE" w:rsidRDefault="00897ADE" w:rsidP="00897AD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灵活隔断的面积比例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=</w:t>
      </w:r>
      <w:r w:rsidR="00FA18A0">
        <w:rPr>
          <w:rFonts w:ascii="Times New Roman" w:hAnsi="Times New Roman" w:cs="宋体"/>
          <w:sz w:val="21"/>
          <w:szCs w:val="21"/>
          <w:lang w:eastAsia="zh-CN"/>
        </w:rPr>
        <w:t>4876.9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/7</w:t>
      </w:r>
      <w:r w:rsidR="00AA127C">
        <w:rPr>
          <w:rFonts w:ascii="Times New Roman" w:hAnsi="Times New Roman" w:cs="宋体"/>
          <w:sz w:val="21"/>
          <w:szCs w:val="21"/>
          <w:lang w:eastAsia="zh-CN"/>
        </w:rPr>
        <w:t>068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×100%=</w:t>
      </w:r>
      <w:r w:rsidR="00AA127C">
        <w:rPr>
          <w:rFonts w:ascii="Times New Roman" w:hAnsi="Times New Roman" w:cs="宋体"/>
          <w:sz w:val="21"/>
          <w:szCs w:val="21"/>
          <w:lang w:eastAsia="zh-CN"/>
        </w:rPr>
        <w:t>68.9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%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；</w:t>
      </w:r>
    </w:p>
    <w:p w14:paraId="6548E4EC" w14:textId="1F561A46" w:rsidR="00900B4A" w:rsidRPr="00897ADE" w:rsidRDefault="00897ADE" w:rsidP="00897AD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非灵活隔断的面积比例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=1-6</w:t>
      </w:r>
      <w:r w:rsidR="00AA127C">
        <w:rPr>
          <w:rFonts w:ascii="Times New Roman" w:hAnsi="Times New Roman" w:cs="宋体"/>
          <w:sz w:val="21"/>
          <w:szCs w:val="21"/>
          <w:lang w:eastAsia="zh-CN"/>
        </w:rPr>
        <w:t>8.9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%=3</w:t>
      </w:r>
      <w:r w:rsidR="00AA127C">
        <w:rPr>
          <w:rFonts w:ascii="Times New Roman" w:hAnsi="Times New Roman" w:cs="宋体"/>
          <w:sz w:val="21"/>
          <w:szCs w:val="21"/>
          <w:lang w:eastAsia="zh-CN"/>
        </w:rPr>
        <w:t>1.1</w:t>
      </w:r>
      <w:bookmarkStart w:id="0" w:name="_GoBack"/>
      <w:bookmarkEnd w:id="0"/>
      <w:r w:rsidRPr="00897ADE">
        <w:rPr>
          <w:rFonts w:ascii="Times New Roman" w:hAnsi="Times New Roman" w:cs="宋体"/>
          <w:sz w:val="21"/>
          <w:szCs w:val="21"/>
          <w:lang w:eastAsia="zh-CN"/>
        </w:rPr>
        <w:t>%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。</w:t>
      </w:r>
    </w:p>
    <w:p w14:paraId="38831265" w14:textId="77777777" w:rsidR="00897ADE" w:rsidRPr="00897ADE" w:rsidRDefault="00897ADE" w:rsidP="00897AD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17656C4F" w14:textId="77777777" w:rsidR="00897ADE" w:rsidRPr="00897ADE" w:rsidRDefault="00897ADE" w:rsidP="00897ADE">
      <w:pPr>
        <w:pStyle w:val="1"/>
        <w:rPr>
          <w:rFonts w:ascii="Times New Roman" w:eastAsiaTheme="minorEastAsia" w:hAnsi="Times New Roman" w:cs="Times New Roman"/>
          <w:sz w:val="32"/>
          <w:szCs w:val="32"/>
          <w:lang w:eastAsia="zh-CN"/>
        </w:rPr>
      </w:pPr>
      <w:r w:rsidRPr="00897ADE">
        <w:rPr>
          <w:rFonts w:ascii="Times New Roman" w:hAnsi="Times New Roman" w:cs="Times New Roman"/>
          <w:sz w:val="32"/>
          <w:szCs w:val="32"/>
          <w:lang w:eastAsia="zh-CN"/>
        </w:rPr>
        <w:t>3.</w:t>
      </w:r>
      <w:r w:rsidRPr="00897ADE">
        <w:rPr>
          <w:rFonts w:ascii="Times New Roman" w:hAnsi="Times New Roman" w:cs="Times New Roman"/>
          <w:sz w:val="32"/>
          <w:szCs w:val="32"/>
          <w:lang w:eastAsia="zh-CN"/>
        </w:rPr>
        <w:t>结论</w:t>
      </w:r>
    </w:p>
    <w:p w14:paraId="28F8CE58" w14:textId="77777777" w:rsidR="00897ADE" w:rsidRPr="00897ADE" w:rsidRDefault="00897ADE" w:rsidP="00897ADE">
      <w:pPr>
        <w:pStyle w:val="1"/>
        <w:rPr>
          <w:rFonts w:ascii="Times New Roman" w:eastAsiaTheme="minorEastAsia" w:hAnsi="Times New Roman" w:cs="Times New Roman"/>
          <w:sz w:val="32"/>
          <w:szCs w:val="32"/>
          <w:lang w:eastAsia="zh-CN"/>
        </w:rPr>
      </w:pPr>
    </w:p>
    <w:p w14:paraId="6C10CFEC" w14:textId="77777777" w:rsidR="00897ADE" w:rsidRPr="00897ADE" w:rsidRDefault="00897ADE" w:rsidP="00897AD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针对《绿色建筑评价标准》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GB50378-2019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的第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4.2.6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条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“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采取提升建筑</w:t>
      </w:r>
      <w:proofErr w:type="gramStart"/>
      <w:r w:rsidRPr="00897ADE">
        <w:rPr>
          <w:rFonts w:ascii="Times New Roman" w:hAnsi="Times New Roman" w:cs="宋体"/>
          <w:sz w:val="21"/>
          <w:szCs w:val="21"/>
          <w:lang w:eastAsia="zh-CN"/>
        </w:rPr>
        <w:t>适</w:t>
      </w:r>
      <w:proofErr w:type="gramEnd"/>
      <w:r w:rsidRPr="00897ADE">
        <w:rPr>
          <w:rFonts w:ascii="Times New Roman" w:hAnsi="Times New Roman" w:cs="宋体"/>
          <w:sz w:val="21"/>
          <w:szCs w:val="21"/>
          <w:lang w:eastAsia="zh-CN"/>
        </w:rPr>
        <w:t>变性的措施，评价总分值为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18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分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”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，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满足第一点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“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采取通用开放、灵活可变的使用空间设计，或采取建筑使用功能可变措施，得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7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分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”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。该评分项可得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7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分。</w:t>
      </w:r>
    </w:p>
    <w:sectPr w:rsidR="00897ADE" w:rsidRPr="00897ADE">
      <w:pgSz w:w="11910" w:h="16850"/>
      <w:pgMar w:top="14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C34"/>
    <w:rsid w:val="00022519"/>
    <w:rsid w:val="00897ADE"/>
    <w:rsid w:val="00900B4A"/>
    <w:rsid w:val="00AA127C"/>
    <w:rsid w:val="00E40C34"/>
    <w:rsid w:val="00FA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11CBA767"/>
  <w15:docId w15:val="{F00F69ED-2AFA-4A28-A051-A9AA6897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Microsoft JhengHei" w:eastAsia="Microsoft JhengHei" w:hAnsi="Microsoft JhengHe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  <w:ind w:left="120"/>
    </w:pPr>
    <w:rPr>
      <w:rFonts w:ascii="宋体" w:eastAsia="宋体" w:hAnsi="宋体"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022519"/>
    <w:rPr>
      <w:b/>
      <w:bCs/>
    </w:rPr>
  </w:style>
  <w:style w:type="table" w:styleId="a6">
    <w:name w:val="Table Grid"/>
    <w:basedOn w:val="a1"/>
    <w:uiPriority w:val="39"/>
    <w:rsid w:val="00022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CD840-F7A9-48EE-A337-C4A55C218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金晶</dc:creator>
  <cp:lastModifiedBy> </cp:lastModifiedBy>
  <cp:revision>3</cp:revision>
  <dcterms:created xsi:type="dcterms:W3CDTF">2020-01-09T09:42:00Z</dcterms:created>
  <dcterms:modified xsi:type="dcterms:W3CDTF">2023-03-05T16:39:00Z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LastSaved">
    <vt:filetime>2020-01-09T00:00:00Z</vt:filetime>
  </property>
</Properties>
</file>