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1223BD3A" w14:textId="77777777" w:rsidR="00A044F5" w:rsidRDefault="00A044F5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3C66F083" w14:textId="77777777" w:rsidR="005E6DA6" w:rsidRPr="00C32D99" w:rsidRDefault="005E6DA6" w:rsidP="005E6DA6">
          <w:pPr>
            <w:spacing w:before="234"/>
            <w:ind w:left="790" w:right="790"/>
            <w:jc w:val="center"/>
            <w:rPr>
              <w:rFonts w:ascii="黑体" w:eastAsia="黑体"/>
              <w:b/>
              <w:bCs/>
              <w:sz w:val="48"/>
            </w:rPr>
          </w:pPr>
          <w:proofErr w:type="gramStart"/>
          <w:r w:rsidRPr="00C32D99">
            <w:rPr>
              <w:rFonts w:ascii="黑体" w:eastAsia="黑体" w:hint="eastAsia"/>
              <w:b/>
              <w:bCs/>
              <w:sz w:val="48"/>
            </w:rPr>
            <w:t>伏绿轻飨</w:t>
          </w:r>
          <w:proofErr w:type="gramEnd"/>
          <w:r w:rsidRPr="00C32D99">
            <w:rPr>
              <w:rFonts w:ascii="黑体" w:eastAsia="黑体" w:hint="eastAsia"/>
              <w:b/>
              <w:bCs/>
              <w:sz w:val="48"/>
            </w:rPr>
            <w:t>，平</w:t>
          </w:r>
          <w:proofErr w:type="gramStart"/>
          <w:r w:rsidRPr="00C32D99">
            <w:rPr>
              <w:rFonts w:ascii="黑体" w:eastAsia="黑体" w:hint="eastAsia"/>
              <w:b/>
              <w:bCs/>
              <w:sz w:val="48"/>
            </w:rPr>
            <w:t>疫</w:t>
          </w:r>
          <w:proofErr w:type="gramEnd"/>
          <w:r w:rsidRPr="00C32D99">
            <w:rPr>
              <w:rFonts w:ascii="黑体" w:eastAsia="黑体" w:hint="eastAsia"/>
              <w:b/>
              <w:bCs/>
              <w:sz w:val="48"/>
            </w:rPr>
            <w:t>近韧</w:t>
          </w:r>
          <w:r w:rsidRPr="00C32D99">
            <w:rPr>
              <w:rFonts w:ascii="黑体" w:eastAsia="黑体"/>
              <w:b/>
              <w:bCs/>
              <w:sz w:val="48"/>
            </w:rPr>
            <w:t>—</w:t>
          </w:r>
          <w:r w:rsidRPr="00C32D99">
            <w:rPr>
              <w:rFonts w:ascii="黑体" w:eastAsia="黑体" w:hint="eastAsia"/>
              <w:b/>
              <w:bCs/>
              <w:sz w:val="48"/>
            </w:rPr>
            <w:t>后疫情时代高校食堂绿色改造设计</w:t>
          </w:r>
        </w:p>
        <w:p w14:paraId="44AA8AC3" w14:textId="77777777" w:rsidR="00A044F5" w:rsidRPr="005E6DA6" w:rsidRDefault="00A044F5">
          <w:pPr>
            <w:pStyle w:val="a4"/>
            <w:rPr>
              <w:rFonts w:ascii="Calibri"/>
              <w:sz w:val="20"/>
              <w:lang w:val="en-US"/>
            </w:rPr>
          </w:pPr>
        </w:p>
        <w:p w14:paraId="5D9A2B2A" w14:textId="77777777" w:rsidR="00A044F5" w:rsidRDefault="00A044F5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7E76C7B1" w14:textId="77777777" w:rsidR="00A044F5" w:rsidRDefault="00A044F5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DD7BE8C" w14:textId="77777777" w:rsidR="00A044F5" w:rsidRDefault="004843F9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电梯与自动扶梯人流平衡计算分析报告</w:t>
          </w:r>
        </w:p>
        <w:p w14:paraId="48B5D467" w14:textId="77777777" w:rsidR="00A044F5" w:rsidRDefault="00A044F5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02A26191" w14:textId="77777777" w:rsidR="00A044F5" w:rsidRDefault="00A044F5">
          <w:pPr>
            <w:jc w:val="center"/>
            <w:rPr>
              <w:lang w:val="zh-CN"/>
            </w:rPr>
          </w:pPr>
        </w:p>
        <w:p w14:paraId="2A85AB9A" w14:textId="77777777" w:rsidR="00A044F5" w:rsidRDefault="00A044F5">
          <w:pPr>
            <w:jc w:val="center"/>
            <w:rPr>
              <w:lang w:val="zh-CN"/>
            </w:rPr>
          </w:pPr>
        </w:p>
        <w:p w14:paraId="65150810" w14:textId="77777777" w:rsidR="00A044F5" w:rsidRDefault="00A044F5">
          <w:pPr>
            <w:jc w:val="center"/>
            <w:rPr>
              <w:lang w:val="zh-CN"/>
            </w:rPr>
          </w:pPr>
        </w:p>
        <w:p w14:paraId="72E34BD7" w14:textId="77777777" w:rsidR="00A044F5" w:rsidRDefault="00A044F5">
          <w:pPr>
            <w:rPr>
              <w:lang w:val="zh-CN"/>
            </w:rPr>
          </w:pPr>
        </w:p>
        <w:p w14:paraId="14E164E1" w14:textId="77777777" w:rsidR="00A044F5" w:rsidRDefault="00A044F5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25E7C343" w14:textId="77777777" w:rsidR="00A044F5" w:rsidRDefault="00A044F5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473AABAB" w14:textId="77777777" w:rsidR="00A044F5" w:rsidRDefault="00A044F5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0D8A028" w14:textId="77777777" w:rsidR="00A044F5" w:rsidRDefault="00A044F5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0184DAA1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60C3F986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59487BDF" w14:textId="77777777" w:rsidR="00A044F5" w:rsidRDefault="00A044F5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4CC4F86C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3B7B1BFB" w14:textId="4695623F" w:rsidR="00A044F5" w:rsidRDefault="004843F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</w:t>
          </w:r>
          <w:r w:rsidR="00613EE3">
            <w:rPr>
              <w:rFonts w:ascii="黑体" w:eastAsia="黑体" w:hint="eastAsia"/>
              <w:sz w:val="30"/>
              <w:szCs w:val="30"/>
            </w:rPr>
            <w:t>绿建软件股份</w:t>
          </w:r>
          <w:r>
            <w:rPr>
              <w:rFonts w:ascii="黑体" w:eastAsia="黑体" w:hint="eastAsia"/>
              <w:sz w:val="30"/>
              <w:szCs w:val="30"/>
            </w:rPr>
            <w:t>有限公司</w:t>
          </w:r>
        </w:p>
        <w:p w14:paraId="7CED305D" w14:textId="26A74A5B" w:rsidR="00A044F5" w:rsidRDefault="004843F9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 w:rsidR="005E6DA6">
            <w:rPr>
              <w:rFonts w:ascii="Times New Roman" w:eastAsia="黑体" w:hAnsi="Times New Roman" w:cs="Times New Roman"/>
              <w:sz w:val="30"/>
              <w:szCs w:val="30"/>
            </w:rPr>
            <w:t>3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3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32656B3A" w14:textId="77777777" w:rsidR="00A044F5" w:rsidRDefault="00A044F5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77CF6B41" w14:textId="77777777" w:rsidR="00A044F5" w:rsidRDefault="00A044F5">
          <w:pPr>
            <w:jc w:val="center"/>
            <w:rPr>
              <w:rFonts w:ascii="宋体" w:eastAsia="宋体" w:hAnsi="宋体"/>
            </w:rPr>
            <w:sectPr w:rsidR="00A044F5">
              <w:headerReference w:type="default" r:id="rId9"/>
              <w:headerReference w:type="first" r:id="rId10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6B529EFC" w14:textId="77777777" w:rsidR="00A044F5" w:rsidRDefault="004843F9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5BAA2BD9" w14:textId="77777777" w:rsidR="00A044F5" w:rsidRDefault="004843F9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15138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_Toc15138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2A60F8E1" w14:textId="77777777" w:rsidR="00A044F5" w:rsidRDefault="00B93175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0921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评价依据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_Toc20921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538896E" w14:textId="77777777" w:rsidR="00A044F5" w:rsidRDefault="00B93175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846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计算标准参数设定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_Toc846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4FD3BEB" w14:textId="77777777" w:rsidR="00A044F5" w:rsidRDefault="00B93175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163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3.1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计算公式及说明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_Toc11630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1F082FC" w14:textId="77777777" w:rsidR="00A044F5" w:rsidRDefault="00B93175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1922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3.2 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标准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_Toc21922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2DDC481" w14:textId="77777777" w:rsidR="00A044F5" w:rsidRDefault="00B93175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3270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3.3 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计算参数设定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_Toc32700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0C8633A" w14:textId="77777777" w:rsidR="00A044F5" w:rsidRDefault="00B93175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5625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电梯运行周期计算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_Toc5625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32938429" w14:textId="77777777" w:rsidR="00A044F5" w:rsidRDefault="00B93175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447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4.1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电梯技术条件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_Toc24470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041D56F" w14:textId="77777777" w:rsidR="00A044F5" w:rsidRDefault="00B93175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374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4.2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电梯运行周期计算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_Toc16374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8A5FA89" w14:textId="77777777" w:rsidR="00A044F5" w:rsidRDefault="00B93175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结论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7289333B" w14:textId="77777777" w:rsidR="00A044F5" w:rsidRDefault="004843F9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47F59FE" w14:textId="77777777" w:rsidR="00A044F5" w:rsidRDefault="00A044F5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74AC2CFA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C466C8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4BD6A1B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19C4E18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46CE914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1366F9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062FC93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0804049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32F02CB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D8AEA29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545D427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2E8AAEC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2F1CF8A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1B3B6A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67212A1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141AA05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F245225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F6FFE20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67503AB" w14:textId="77777777" w:rsidR="00A044F5" w:rsidRDefault="00A044F5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A044F5">
              <w:foot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  <w:p w14:paraId="521A7C47" w14:textId="3F97F9A8" w:rsidR="00A044F5" w:rsidRDefault="004843F9" w:rsidP="005E6DA6">
          <w:pPr>
            <w:pStyle w:val="1"/>
            <w:numPr>
              <w:ilvl w:val="0"/>
              <w:numId w:val="2"/>
            </w:numPr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项目概况</w:t>
          </w:r>
          <w:bookmarkEnd w:id="0"/>
        </w:p>
        <w:p w14:paraId="6DD92CC8" w14:textId="1957D638" w:rsidR="005E6DA6" w:rsidRPr="005E6DA6" w:rsidRDefault="005E6DA6" w:rsidP="005E6DA6">
          <w:pPr>
            <w:pStyle w:val="a0"/>
            <w:ind w:firstLine="420"/>
            <w:rPr>
              <w:rFonts w:hint="eastAsia"/>
              <w:lang w:val="zh-CN"/>
            </w:rPr>
          </w:pPr>
          <w:r>
            <w:rPr>
              <w:rFonts w:hint="eastAsia"/>
              <w:noProof/>
              <w:lang w:val="zh-CN"/>
            </w:rPr>
            <w:drawing>
              <wp:inline distT="0" distB="0" distL="0" distR="0" wp14:anchorId="59C1E7E0" wp14:editId="754BDCCF">
                <wp:extent cx="5274310" cy="2961640"/>
                <wp:effectExtent l="0" t="0" r="254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鸟瞰效果图.jpg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296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5D232" w14:textId="77777777" w:rsidR="00A044F5" w:rsidRDefault="004843F9">
          <w:pPr>
            <w:pStyle w:val="1"/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0921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2.</w:t>
          </w:r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评价依据</w:t>
          </w:r>
          <w:bookmarkEnd w:id="1"/>
        </w:p>
        <w:p w14:paraId="266DC871" w14:textId="5A651EA3" w:rsidR="00A044F5" w:rsidRDefault="004843F9">
          <w:pPr>
            <w:pStyle w:val="ab"/>
            <w:shd w:val="clear" w:color="auto" w:fill="FFFFFF"/>
            <w:spacing w:before="0" w:beforeAutospacing="0" w:after="0" w:afterAutospacing="0" w:line="400" w:lineRule="exact"/>
            <w:ind w:firstLineChars="200" w:firstLine="480"/>
            <w:textAlignment w:val="baseline"/>
          </w:pPr>
          <w:r>
            <w:rPr>
              <w:rFonts w:ascii="Times New Roman" w:hAnsi="Times New Roman" w:cs="Times New Roman" w:hint="eastAsia"/>
            </w:rPr>
            <w:t>依据《绿色建筑评价标准》</w:t>
          </w:r>
          <w:r w:rsidR="00613EE3" w:rsidRPr="00613EE3">
            <w:rPr>
              <w:rFonts w:ascii="Times New Roman" w:hAnsi="Times New Roman" w:cs="Times New Roman" w:hint="eastAsia"/>
            </w:rPr>
            <w:t>GB/T</w:t>
          </w:r>
          <w:r w:rsidR="00691CD9">
            <w:rPr>
              <w:rFonts w:ascii="Times New Roman" w:hAnsi="Times New Roman" w:cs="Times New Roman" w:hint="eastAsia"/>
            </w:rPr>
            <w:t xml:space="preserve"> </w:t>
          </w:r>
          <w:r w:rsidR="00613EE3" w:rsidRPr="00613EE3">
            <w:rPr>
              <w:rFonts w:ascii="Times New Roman" w:hAnsi="Times New Roman" w:cs="Times New Roman" w:hint="eastAsia"/>
            </w:rPr>
            <w:t>50378-2019</w:t>
          </w:r>
          <w:r w:rsidR="00613EE3" w:rsidRPr="00613EE3">
            <w:rPr>
              <w:rFonts w:ascii="Times New Roman" w:hAnsi="Times New Roman" w:cs="Times New Roman" w:hint="eastAsia"/>
            </w:rPr>
            <w:t>第</w:t>
          </w:r>
          <w:r w:rsidR="00613EE3" w:rsidRPr="00613EE3">
            <w:rPr>
              <w:rFonts w:ascii="Times New Roman" w:hAnsi="Times New Roman" w:cs="Times New Roman" w:hint="eastAsia"/>
            </w:rPr>
            <w:t>7.1.6</w:t>
          </w:r>
          <w:r w:rsidR="00613EE3" w:rsidRPr="00613EE3">
            <w:rPr>
              <w:rFonts w:ascii="Times New Roman" w:hAnsi="Times New Roman" w:cs="Times New Roman" w:hint="eastAsia"/>
            </w:rPr>
            <w:t>条“垂直电梯应采取群控、变频调速或能量反馈等节能措施；自动扶梯应采用变频感应启动等节能控制措施。”</w:t>
          </w:r>
        </w:p>
      </w:sdtContent>
    </w:sdt>
    <w:p w14:paraId="5CAF6FB1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</w:pPr>
      <w:bookmarkStart w:id="2" w:name="_Toc846"/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3.</w:t>
      </w:r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计算标准参数设定</w:t>
      </w:r>
      <w:bookmarkEnd w:id="2"/>
    </w:p>
    <w:p w14:paraId="515CAE92" w14:textId="1FE79259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</w:pPr>
      <w:bookmarkStart w:id="3" w:name="_Toc1163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 w:rsidR="008A73D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计算公式及说明</w:t>
      </w:r>
      <w:bookmarkEnd w:id="3"/>
    </w:p>
    <w:p w14:paraId="6BA1E5A3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）假设设置电梯的建筑物在早上上班期间，乘客呈现泊松分布规律；各层之间的乘客没有乘电梯往来的情形；电梯以单程快行服务方式（见下图</w:t>
      </w:r>
      <w:r>
        <w:rPr>
          <w:rFonts w:ascii="Times New Roman" w:hAnsi="Times New Roman" w:cs="Times New Roman" w:hint="eastAsia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；电梯乘客人数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按照电梯额定载重量的</w:t>
      </w:r>
      <w:r>
        <w:rPr>
          <w:rFonts w:ascii="Times New Roman" w:hAnsi="Times New Roman" w:cs="Times New Roman"/>
          <w:sz w:val="24"/>
          <w:szCs w:val="24"/>
        </w:rPr>
        <w:t>0.8</w:t>
      </w:r>
      <w:r>
        <w:rPr>
          <w:rFonts w:ascii="Times New Roman" w:hAnsi="Times New Roman" w:cs="Times New Roman"/>
          <w:sz w:val="24"/>
          <w:szCs w:val="24"/>
        </w:rPr>
        <w:t>倍计算。</w:t>
      </w:r>
    </w:p>
    <w:p w14:paraId="3CF38CCF" w14:textId="77777777" w:rsidR="00A044F5" w:rsidRDefault="004843F9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w:drawing>
          <wp:inline distT="0" distB="0" distL="114300" distR="114300" wp14:anchorId="1503123C" wp14:editId="31DF38E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 w14:textId="77777777" w:rsidR="00A044F5" w:rsidRDefault="004843F9">
      <w:pPr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 w14:textId="77777777" w:rsidR="00A044F5" w:rsidRDefault="004843F9">
      <w:pPr>
        <w:numPr>
          <w:ilvl w:val="0"/>
          <w:numId w:val="1"/>
        </w:num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 w14:textId="77777777" w:rsidR="00A044F5" w:rsidRDefault="004843F9">
      <w:pPr>
        <w:spacing w:line="360" w:lineRule="auto"/>
        <w:ind w:firstLineChars="450"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</w:t>
      </w:r>
      <w:proofErr w:type="spellStart"/>
      <w:r>
        <w:rPr>
          <w:rFonts w:ascii="Times New Roman" w:hAnsi="Times New Roman" w:cs="Times New Roman"/>
          <w:sz w:val="24"/>
          <w:szCs w:val="24"/>
        </w:rPr>
        <w:t>Tp+Td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5E6DA6">
        <w:rPr>
          <w:rFonts w:ascii="Times New Roman" w:hAnsi="Times New Roman" w:cs="Times New Roman"/>
          <w:position w:val="-54"/>
        </w:rPr>
        <w:pict w14:anchorId="5B95C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5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Ca&quot;&quot;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&quot;&quot;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&quot;&quot;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&quot;&quot;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&quot;&quot;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&quot;&quo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quot;&quo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&quot;&quot;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&quot;&quo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&quot;&quot;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&quot;&quot;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s&quot;&quot;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&quot;&quot;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quot;&quo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&quot;&quot;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&quot;&quot;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&quot;&quot;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:r&quot;&quot;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r&quot;&quo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&quot;&quot;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&quot;&quot;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:f&quot;&quot;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&quot;&quot;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mbri&quot;&quot;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&quot;&quot;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&quot;&quot;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&quot;&quot;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&quot;&quot;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&quot;&quo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quot;&quo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&quot;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&quot;&quot;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&quot;&quot;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as&quot;&quot;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&quot;&quot;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&quot;&quot;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&quot;&quot;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&quot;&quot;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/m:&quot;&quot;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:&quot;&quot;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&quot;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i&quot;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 i&quot;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&quot;宋 i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5E6DA6">
        <w:rPr>
          <w:rFonts w:ascii="Times New Roman" w:hAnsi="Times New Roman" w:cs="Times New Roman"/>
          <w:position w:val="-54"/>
        </w:rPr>
        <w:pict w14:anchorId="1B498856">
          <v:shape id="_x0000_i1026" type="#_x0000_t75" style="width:160.35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Ca&quot;&quot;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&quot;&quot;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&quot;&quot;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&quot;&quot;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&quot;&quot;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&quot;&quo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quot;&quo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&quot;&quot;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&quot;&quo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&quot;&quot;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&quot;&quot;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s&quot;&quot;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&quot;&quot;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quot;&quo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&quot;&quot;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&quot;&quot;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&quot;&quot;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:r&quot;&quot;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r&quot;&quo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&quot;&quot;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&quot;&quot;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:f&quot;&quot;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&quot;&quot;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mbri&quot;&quot;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&quot;&quot;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&quot;&quot;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&quot;&quot;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&quot;&quot;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&quot;&quo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quot;&quo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&quot;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&quot;&quot;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&quot;&quot;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as&quot;&quot;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&quot;&quot;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&quot;&quot;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&quot;&quot;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&quot;&quot;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/m:&quot;&quot;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:&quot;&quot;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&quot;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i&quot;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 i&quot;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&quot;宋 i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乘客进出轿厢总时间；</w:t>
      </w:r>
    </w:p>
    <w:p w14:paraId="1516C70D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Td——</w:t>
      </w:r>
      <w:r>
        <w:rPr>
          <w:rFonts w:ascii="Times New Roman" w:hAnsi="Times New Roman" w:cs="Times New Roman"/>
          <w:sz w:val="24"/>
          <w:szCs w:val="24"/>
        </w:rPr>
        <w:t>开关门总时间；</w:t>
      </w:r>
    </w:p>
    <w:p w14:paraId="25DF0C66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短区间轿厢行程；</w:t>
      </w:r>
    </w:p>
    <w:p w14:paraId="78EB7440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轿厢额定速度；</w:t>
      </w:r>
    </w:p>
    <w:p w14:paraId="7BD7BB39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</w:t>
      </w:r>
      <w:r>
        <w:rPr>
          <w:rFonts w:ascii="Times New Roman" w:hAnsi="Times New Roman" w:cs="Times New Roman"/>
          <w:sz w:val="24"/>
          <w:szCs w:val="24"/>
        </w:rPr>
        <w:t>短区间平均运行距离；</w:t>
      </w:r>
    </w:p>
    <w:p w14:paraId="1E368334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</w:t>
      </w:r>
      <w:r>
        <w:rPr>
          <w:rFonts w:ascii="Times New Roman" w:hAnsi="Times New Roman" w:cs="Times New Roman"/>
          <w:sz w:val="24"/>
          <w:szCs w:val="24"/>
        </w:rPr>
        <w:t>加速距离；</w:t>
      </w:r>
    </w:p>
    <w:p w14:paraId="2C54215B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</w:t>
      </w:r>
      <w:r>
        <w:rPr>
          <w:rFonts w:ascii="Times New Roman" w:hAnsi="Times New Roman" w:cs="Times New Roman"/>
          <w:sz w:val="24"/>
          <w:szCs w:val="24"/>
        </w:rPr>
        <w:t>加速时间；</w:t>
      </w:r>
    </w:p>
    <w:p w14:paraId="32907421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5E6DA6">
        <w:rPr>
          <w:rFonts w:ascii="Times New Roman" w:hAnsi="Times New Roman" w:cs="Times New Roman"/>
          <w:position w:val="-6"/>
          <w:sz w:val="24"/>
          <w:szCs w:val="24"/>
        </w:rPr>
        <w:pict w14:anchorId="6F000D7A">
          <v:shape id="_x0000_i1027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ci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5E6DA6">
        <w:rPr>
          <w:rFonts w:ascii="Times New Roman" w:hAnsi="Times New Roman" w:cs="Times New Roman"/>
          <w:position w:val="-6"/>
          <w:sz w:val="24"/>
          <w:szCs w:val="24"/>
        </w:rPr>
        <w:pict w14:anchorId="7011F109">
          <v:shape id="_x0000_i1028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ci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轿厢单站运行时间。</w:t>
      </w:r>
    </w:p>
    <w:p w14:paraId="6AC3E82F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）可能停靠站数</w:t>
      </w:r>
    </w:p>
    <w:p w14:paraId="78AF36E0" w14:textId="7B6B1EE2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p>
            </m:sSup>
          </m:e>
        </m:d>
      </m:oMath>
    </w:p>
    <w:p w14:paraId="74D92D7A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）短区间平均运行距离</w:t>
      </w:r>
    </w:p>
    <w:p w14:paraId="4AB29622" w14:textId="77777777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5E6DA6">
        <w:rPr>
          <w:rFonts w:ascii="Times New Roman" w:hAnsi="Times New Roman" w:cs="Times New Roman"/>
          <w:position w:val="-30"/>
          <w:sz w:val="24"/>
          <w:szCs w:val="24"/>
        </w:rPr>
        <w:pict w14:anchorId="39DE5072">
          <v:shape id="_x0000_i1029" type="#_x0000_t75" style="width:73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am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am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am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am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am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m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am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am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am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am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eaam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am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am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am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am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5E6DA6">
        <w:rPr>
          <w:rFonts w:ascii="Times New Roman" w:hAnsi="Times New Roman" w:cs="Times New Roman"/>
          <w:position w:val="-30"/>
          <w:sz w:val="24"/>
          <w:szCs w:val="24"/>
        </w:rPr>
        <w:pict w14:anchorId="20C0FBE2">
          <v:shape id="_x0000_i1030" type="#_x0000_t75" style="width:73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am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am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am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am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am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m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am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am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am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am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eaam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am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am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am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am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 w14:textId="22BFA52A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）平均间隙时间</w:t>
      </w:r>
      <w:r>
        <w:rPr>
          <w:rFonts w:ascii="Times New Roman" w:hAnsi="Times New Roman" w:cs="Times New Roman"/>
          <w:sz w:val="24"/>
          <w:szCs w:val="24"/>
        </w:rPr>
        <w:t>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为电梯群控的台数</w:t>
      </w:r>
    </w:p>
    <w:p w14:paraId="04834D94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）平均等候时间</w:t>
      </w:r>
      <w:r>
        <w:rPr>
          <w:rFonts w:ascii="Times New Roman" w:hAnsi="Times New Roman" w:cs="Times New Roman"/>
          <w:sz w:val="24"/>
          <w:szCs w:val="24"/>
        </w:rPr>
        <w:t>AWT=0.6AI</w:t>
      </w:r>
    </w:p>
    <w:p w14:paraId="3C43DE4A" w14:textId="77777777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分钟载客率</w:t>
      </w:r>
      <w:r>
        <w:rPr>
          <w:rFonts w:ascii="Times New Roman" w:hAnsi="Times New Roman" w:cs="Times New Roman"/>
          <w:sz w:val="24"/>
          <w:szCs w:val="24"/>
        </w:rPr>
        <w:t>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5E6DA6">
        <w:rPr>
          <w:rFonts w:ascii="Times New Roman" w:hAnsi="Times New Roman" w:cs="Times New Roman"/>
          <w:position w:val="-23"/>
          <w:sz w:val="24"/>
          <w:szCs w:val="24"/>
        </w:rPr>
        <w:pict w14:anchorId="1B85E6BF">
          <v:shape id="_x0000_i1031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x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5E6DA6">
        <w:rPr>
          <w:rFonts w:ascii="Times New Roman" w:hAnsi="Times New Roman" w:cs="Times New Roman"/>
          <w:position w:val="-23"/>
          <w:sz w:val="24"/>
          <w:szCs w:val="24"/>
        </w:rPr>
        <w:pict w14:anchorId="7AF1FE28">
          <v:shape id="_x0000_i1032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x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为一台电梯载客数，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为电梯台数。</w:t>
      </w:r>
    </w:p>
    <w:p w14:paraId="12B38737" w14:textId="73EB05AF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</w:pPr>
      <w:bookmarkStart w:id="4" w:name="_Toc21922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lastRenderedPageBreak/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2 </w:t>
      </w:r>
      <w:r w:rsidR="008A73D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标准</w:t>
      </w:r>
      <w:bookmarkEnd w:id="4"/>
    </w:p>
    <w:p w14:paraId="0C5703A7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分钟输送率：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15%</w:t>
      </w:r>
      <w:r>
        <w:rPr>
          <w:rFonts w:ascii="Times New Roman" w:hAnsi="Times New Roman" w:cs="Times New Roman"/>
          <w:sz w:val="24"/>
          <w:szCs w:val="24"/>
        </w:rPr>
        <w:t>（写字楼的理想参数）；</w:t>
      </w:r>
    </w:p>
    <w:p w14:paraId="0133D9C4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6%</w:t>
      </w:r>
      <w:r>
        <w:rPr>
          <w:rFonts w:ascii="Times New Roman" w:hAnsi="Times New Roman" w:cs="Times New Roman"/>
          <w:sz w:val="24"/>
          <w:szCs w:val="24"/>
        </w:rPr>
        <w:t>（公寓的理想参数）；</w:t>
      </w:r>
    </w:p>
    <w:p w14:paraId="3D35DB3E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（酒店的理想参数）。</w:t>
      </w:r>
    </w:p>
    <w:p w14:paraId="5628A55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）平均运转间隔时间（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）：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秒（写字楼）；</w:t>
      </w:r>
    </w:p>
    <w:p w14:paraId="705C4C1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秒（公寓）；</w:t>
      </w:r>
    </w:p>
    <w:p w14:paraId="5D2F8B6E" w14:textId="5F0B2AC9" w:rsidR="002818CD" w:rsidRPr="005E6DA6" w:rsidRDefault="004843F9" w:rsidP="005E6DA6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</w:t>
      </w:r>
      <w:r>
        <w:rPr>
          <w:rFonts w:ascii="Times New Roman" w:hAnsi="Times New Roman" w:cs="Times New Roman"/>
          <w:sz w:val="24"/>
          <w:szCs w:val="24"/>
        </w:rPr>
        <w:t>秒以下（酒店）。</w:t>
      </w:r>
    </w:p>
    <w:p w14:paraId="3503CE15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5" w:name="_Toc5625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电梯运行周期计算</w:t>
      </w:r>
      <w:bookmarkEnd w:id="5"/>
    </w:p>
    <w:p w14:paraId="71E2A2CD" w14:textId="1EB88819" w:rsidR="002818CD" w:rsidRPr="005E6DA6" w:rsidRDefault="004843F9" w:rsidP="005E6DA6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</w:pPr>
      <w:bookmarkStart w:id="6" w:name="_Toc2447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电梯技术条件</w:t>
      </w:r>
      <w:bookmarkStart w:id="7" w:name="_GoBack"/>
      <w:bookmarkEnd w:id="6"/>
      <w:bookmarkEnd w:id="7"/>
    </w:p>
    <w:p w14:paraId="449B58C8" w14:textId="3B4425DB" w:rsidR="002818CD" w:rsidRPr="005E6DA6" w:rsidRDefault="004843F9" w:rsidP="005E6DA6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</w:pPr>
      <w:bookmarkStart w:id="8" w:name="_Toc16374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2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电梯运行周期计算</w:t>
      </w:r>
      <w:bookmarkEnd w:id="8"/>
    </w:p>
    <w:p w14:paraId="56D3C395" w14:textId="6CB00B7B" w:rsidR="00A044F5" w:rsidRDefault="004843F9" w:rsidP="005E6DA6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eastAsia="zh-CN" w:bidi="ar-SA"/>
        </w:rPr>
      </w:pPr>
      <w:bookmarkStart w:id="9" w:name="_Toc160"/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结论</w:t>
      </w:r>
      <w:bookmarkEnd w:id="9"/>
    </w:p>
    <w:p w14:paraId="38B54D4B" w14:textId="3AAFE4F0" w:rsidR="005E6DA6" w:rsidRPr="005E6DA6" w:rsidRDefault="005E6DA6" w:rsidP="005E6DA6">
      <w:pPr>
        <w:pStyle w:val="a0"/>
        <w:ind w:firstLine="480"/>
        <w:rPr>
          <w:rFonts w:eastAsiaTheme="minorEastAsia" w:hint="eastAsia"/>
          <w:sz w:val="24"/>
          <w:szCs w:val="24"/>
          <w:lang w:val="en-US"/>
        </w:rPr>
      </w:pPr>
      <w:r w:rsidRPr="005E6DA6">
        <w:rPr>
          <w:rFonts w:eastAsiaTheme="minorEastAsia" w:hint="eastAsia"/>
          <w:sz w:val="24"/>
          <w:szCs w:val="24"/>
          <w:lang w:val="en-US"/>
        </w:rPr>
        <w:t>通过以上计算结果，本项目的电梯满足规范要求</w:t>
      </w:r>
    </w:p>
    <w:sectPr w:rsidR="005E6DA6" w:rsidRPr="005E6DA6">
      <w:footerReference w:type="default" r:id="rId1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C08A8" w14:textId="77777777" w:rsidR="00B93175" w:rsidRDefault="00B93175">
      <w:r>
        <w:separator/>
      </w:r>
    </w:p>
  </w:endnote>
  <w:endnote w:type="continuationSeparator" w:id="0">
    <w:p w14:paraId="733C46DB" w14:textId="77777777" w:rsidR="00B93175" w:rsidRDefault="00B9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15D8" w14:textId="77777777" w:rsidR="00A044F5" w:rsidRDefault="00A044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7B3E" w14:textId="77777777" w:rsidR="00A044F5" w:rsidRDefault="004843F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1681793" wp14:editId="415D57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 w14:textId="77777777" w:rsidR="00A044F5" w:rsidRDefault="004843F9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179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6F832D2" w14:textId="77777777" w:rsidR="00A044F5" w:rsidRDefault="004843F9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D374" w14:textId="77777777" w:rsidR="00A044F5" w:rsidRDefault="004843F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4F618FE" wp14:editId="602999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 w14:textId="77777777" w:rsidR="00A044F5" w:rsidRDefault="004843F9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3421D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618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42DBA741" w14:textId="77777777" w:rsidR="00A044F5" w:rsidRDefault="004843F9">
                    <w:pPr>
                      <w:pStyle w:val="a6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3421D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F4155" w14:textId="77777777" w:rsidR="00B93175" w:rsidRDefault="00B93175">
      <w:r>
        <w:separator/>
      </w:r>
    </w:p>
  </w:footnote>
  <w:footnote w:type="continuationSeparator" w:id="0">
    <w:p w14:paraId="25025412" w14:textId="77777777" w:rsidR="00B93175" w:rsidRDefault="00B9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86CA" w14:textId="77777777" w:rsidR="00A044F5" w:rsidRDefault="004843F9">
    <w:pPr>
      <w:pStyle w:val="a9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5E1E" w14:textId="77777777" w:rsidR="00A044F5" w:rsidRDefault="00A044F5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3491AD"/>
    <w:multiLevelType w:val="singleLevel"/>
    <w:tmpl w:val="843491AD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445001AB"/>
    <w:multiLevelType w:val="hybridMultilevel"/>
    <w:tmpl w:val="3ACE7CFC"/>
    <w:lvl w:ilvl="0" w:tplc="7D28DFE0">
      <w:start w:val="1"/>
      <w:numFmt w:val="decimal"/>
      <w:lvlText w:val="%1."/>
      <w:lvlJc w:val="left"/>
      <w:pPr>
        <w:ind w:left="228" w:hanging="2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5E6DA6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93175"/>
    <w:rsid w:val="00BA2CDB"/>
    <w:rsid w:val="00BA697F"/>
    <w:rsid w:val="00BB2903"/>
    <w:rsid w:val="00BB6DE0"/>
    <w:rsid w:val="00BD045E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F859"/>
  <w15:docId w15:val="{2C680FEB-93D3-43E7-A93F-EB7640DB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a6">
    <w:name w:val="正文文本缩进 字符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styleId="af0">
    <w:name w:val="Placeholder Text"/>
    <w:basedOn w:val="a1"/>
    <w:uiPriority w:val="99"/>
    <w:semiHidden/>
    <w:qFormat/>
    <w:rPr>
      <w:color w:val="808080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21">
    <w:name w:val="列出段落2"/>
    <w:basedOn w:val="a"/>
    <w:uiPriority w:val="99"/>
    <w:unhideWhenUsed/>
    <w:pPr>
      <w:ind w:firstLineChars="200" w:firstLine="420"/>
    </w:pPr>
  </w:style>
  <w:style w:type="paragraph" w:styleId="af3">
    <w:name w:val="Balloon Text"/>
    <w:basedOn w:val="a"/>
    <w:link w:val="af4"/>
    <w:uiPriority w:val="99"/>
    <w:semiHidden/>
    <w:unhideWhenUsed/>
    <w:rsid w:val="00691CD9"/>
    <w:rPr>
      <w:sz w:val="18"/>
      <w:szCs w:val="18"/>
    </w:rPr>
  </w:style>
  <w:style w:type="character" w:customStyle="1" w:styleId="af4">
    <w:name w:val="批注框文本 字符"/>
    <w:basedOn w:val="a1"/>
    <w:link w:val="af3"/>
    <w:uiPriority w:val="99"/>
    <w:semiHidden/>
    <w:rsid w:val="00691C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 </cp:lastModifiedBy>
  <cp:revision>12</cp:revision>
  <cp:lastPrinted>2018-06-06T07:38:00Z</cp:lastPrinted>
  <dcterms:created xsi:type="dcterms:W3CDTF">2021-11-17T03:39:00Z</dcterms:created>
  <dcterms:modified xsi:type="dcterms:W3CDTF">2023-03-05T13:39:00Z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