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大连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2023年01月01日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_Toc18607 </w:instrText>
      </w:r>
      <w:r>
        <w:rPr>
          <w:rFonts w:ascii="宋体" w:hAnsi="宋体"/>
          <w:bCs w:val="0"/>
          <w:caps/>
        </w:rPr>
        <w:fldChar w:fldCharType="separate"/>
      </w:r>
      <w:r>
        <w:rPr>
          <w:rFonts w:hint="eastAsia"/>
        </w:rPr>
        <w:t>1 项目概况</w:t>
      </w:r>
      <w:r>
        <w:tab/>
      </w:r>
      <w:r>
        <w:fldChar w:fldCharType="begin"/>
      </w:r>
      <w:r>
        <w:instrText xml:space="preserve"> PAGEREF _Toc18607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_Toc18282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_Toc18282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_Toc30087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_Toc30087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_Toc4599 </w:instrText>
      </w:r>
      <w:r>
        <w:fldChar w:fldCharType="separate"/>
      </w:r>
      <w:r>
        <w:rPr>
          <w:rFonts w:hint="eastAsia"/>
        </w:rPr>
        <w:t>2 计算</w:t>
      </w:r>
      <w:r>
        <w:t>依据</w:t>
      </w:r>
      <w:r>
        <w:tab/>
      </w:r>
      <w:r>
        <w:fldChar w:fldCharType="begin"/>
      </w:r>
      <w:r>
        <w:instrText xml:space="preserve"> PAGEREF _Toc4599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_Toc5952 </w:instrText>
      </w:r>
      <w:r>
        <w:fldChar w:fldCharType="separate"/>
      </w:r>
      <w:r>
        <w:rPr>
          <w:rFonts w:hint="eastAsia"/>
        </w:rPr>
        <w:t>3 参考</w:t>
      </w:r>
      <w:r>
        <w:t>标准</w:t>
      </w:r>
      <w:r>
        <w:tab/>
      </w:r>
      <w:r>
        <w:fldChar w:fldCharType="begin"/>
      </w:r>
      <w:r>
        <w:instrText xml:space="preserve"> PAGEREF _Toc5952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_Toc19142 </w:instrText>
      </w:r>
      <w:r>
        <w:fldChar w:fldCharType="separate"/>
      </w:r>
      <w:r>
        <w:rPr>
          <w:rFonts w:hint="eastAsia"/>
        </w:rPr>
        <w:t>4 计算原理</w:t>
      </w:r>
      <w:r>
        <w:tab/>
      </w:r>
      <w:r>
        <w:fldChar w:fldCharType="begin"/>
      </w:r>
      <w:r>
        <w:instrText xml:space="preserve"> PAGEREF _Toc19142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_Toc11399 </w:instrText>
      </w:r>
      <w:r>
        <w:fldChar w:fldCharType="separate"/>
      </w:r>
      <w:r>
        <w:rPr>
          <w:rFonts w:hint="eastAsia"/>
          <w:lang w:val="en-GB"/>
        </w:rPr>
        <w:t xml:space="preserve">4.1 </w:t>
      </w:r>
      <w:r>
        <w:rPr>
          <w:rFonts w:hint="eastAsia"/>
        </w:rPr>
        <w:t>风场计算域</w:t>
      </w:r>
      <w:r>
        <w:tab/>
      </w:r>
      <w:r>
        <w:fldChar w:fldCharType="begin"/>
      </w:r>
      <w:r>
        <w:instrText xml:space="preserve"> PAGEREF _Toc11399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_Toc32506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_Toc32506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_Toc6765 </w:instrText>
      </w:r>
      <w:r>
        <w:fldChar w:fldCharType="separate"/>
      </w:r>
      <w:r>
        <w:rPr>
          <w:rFonts w:hint="eastAsia"/>
          <w:lang w:val="en-GB"/>
        </w:rPr>
        <w:t xml:space="preserve">4.2 </w:t>
      </w:r>
      <w:r>
        <w:rPr>
          <w:rFonts w:hint="eastAsia"/>
        </w:rPr>
        <w:t>网格划分</w:t>
      </w:r>
      <w:r>
        <w:tab/>
      </w:r>
      <w:r>
        <w:fldChar w:fldCharType="begin"/>
      </w:r>
      <w:r>
        <w:instrText xml:space="preserve"> PAGEREF _Toc6765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_Toc25048 </w:instrText>
      </w:r>
      <w:r>
        <w:fldChar w:fldCharType="separate"/>
      </w:r>
      <w:r>
        <w:rPr>
          <w:rFonts w:hint="eastAsia"/>
          <w:lang w:val="en-GB"/>
        </w:rPr>
        <w:t xml:space="preserve">4.3 </w:t>
      </w:r>
      <w:r>
        <w:rPr>
          <w:rFonts w:hint="eastAsia"/>
        </w:rPr>
        <w:t>边界条件</w:t>
      </w:r>
      <w:r>
        <w:tab/>
      </w:r>
      <w:r>
        <w:fldChar w:fldCharType="begin"/>
      </w:r>
      <w:r>
        <w:instrText xml:space="preserve"> PAGEREF _Toc25048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_Toc1982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_Toc1982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_Toc1358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_Toc1358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_Toc21452 </w:instrText>
      </w:r>
      <w:r>
        <w:fldChar w:fldCharType="separate"/>
      </w:r>
      <w:r>
        <w:rPr>
          <w:rFonts w:hint="eastAsia"/>
          <w:lang w:val="en-GB"/>
        </w:rPr>
        <w:t xml:space="preserve">4.4 </w:t>
      </w:r>
      <w:r>
        <w:rPr>
          <w:rFonts w:hint="eastAsia"/>
        </w:rPr>
        <w:t>湍流模型</w:t>
      </w:r>
      <w:r>
        <w:tab/>
      </w:r>
      <w:r>
        <w:fldChar w:fldCharType="begin"/>
      </w:r>
      <w:r>
        <w:instrText xml:space="preserve"> PAGEREF _Toc21452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_Toc5109 </w:instrText>
      </w:r>
      <w:r>
        <w:fldChar w:fldCharType="separate"/>
      </w:r>
      <w:r>
        <w:rPr>
          <w:rFonts w:hint="eastAsia"/>
          <w:lang w:val="en-GB"/>
        </w:rPr>
        <w:t xml:space="preserve">4.5 </w:t>
      </w:r>
      <w:r>
        <w:rPr>
          <w:rFonts w:hint="eastAsia"/>
        </w:rPr>
        <w:t>求解计算</w:t>
      </w:r>
      <w:r>
        <w:tab/>
      </w:r>
      <w:r>
        <w:fldChar w:fldCharType="begin"/>
      </w:r>
      <w:r>
        <w:instrText xml:space="preserve"> PAGEREF _Toc5109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_Toc3325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_Toc3325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_Toc11356 </w:instrText>
      </w:r>
      <w:r>
        <w:fldChar w:fldCharType="separate"/>
      </w:r>
      <w:r>
        <w:rPr>
          <w:rFonts w:hint="eastAsia"/>
        </w:rPr>
        <w:t>5 结果</w:t>
      </w:r>
      <w:r>
        <w:t>分析</w:t>
      </w:r>
      <w:r>
        <w:tab/>
      </w:r>
      <w:r>
        <w:fldChar w:fldCharType="begin"/>
      </w:r>
      <w:r>
        <w:instrText xml:space="preserve"> PAGEREF _Toc11356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_Toc30505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_Toc30505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_Toc18159 </w:instrText>
      </w:r>
      <w:r>
        <w:fldChar w:fldCharType="separate"/>
      </w:r>
      <w:r>
        <w:rPr>
          <w:rFonts w:hint="eastAsia"/>
          <w:lang w:val="en-GB"/>
        </w:rPr>
        <w:t xml:space="preserve">5.2 </w:t>
      </w:r>
      <w:r>
        <w:rPr>
          <w:rFonts w:hint="eastAsia"/>
        </w:rPr>
        <w:t>冬季工况</w:t>
      </w:r>
      <w:r>
        <w:tab/>
      </w:r>
      <w:r>
        <w:fldChar w:fldCharType="begin"/>
      </w:r>
      <w:r>
        <w:instrText xml:space="preserve"> PAGEREF _Toc18159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_Toc10440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_Toc10440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_Toc10929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_Toc10929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_Toc7631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_Toc7631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_Toc19544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_Toc19544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_Toc4550 </w:instrText>
      </w:r>
      <w:r>
        <w:fldChar w:fldCharType="separate"/>
      </w:r>
      <w:r>
        <w:rPr>
          <w:rFonts w:hint="eastAsia"/>
          <w:lang w:val="en-GB"/>
        </w:rPr>
        <w:t xml:space="preserve">5.3 </w:t>
      </w:r>
      <w:r>
        <w:rPr>
          <w:rFonts w:hint="eastAsia"/>
        </w:rPr>
        <w:t>结论</w:t>
      </w:r>
      <w:r>
        <w:tab/>
      </w:r>
      <w:r>
        <w:fldChar w:fldCharType="begin"/>
      </w:r>
      <w:r>
        <w:instrText xml:space="preserve"> PAGEREF _Toc4550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_Toc21585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_Toc21585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18607"/>
      <w:bookmarkStart w:id="12" w:name="_Toc452108759"/>
      <w:r>
        <w:rPr>
          <w:rFonts w:hint="eastAsia"/>
        </w:rPr>
        <w:t>项目概况</w:t>
      </w:r>
      <w:bookmarkEnd w:id="11"/>
      <w:bookmarkEnd w:id="12"/>
    </w:p>
    <w:p>
      <w:pPr>
        <w:pStyle w:val="3"/>
        <w:ind w:firstLine="420"/>
        <w:rPr>
          <w:lang w:val="en-US"/>
        </w:rPr>
      </w:pPr>
      <w:bookmarkStart w:id="13"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8282"/>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30087"/>
      <w:bookmarkStart w:id="19" w:name="_Toc452108761"/>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TitleFormat"/>
      <w:bookmarkStart w:id="24" w:name="_Toc4599"/>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《绿色建筑评价标准》GB/T50378-2019</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5952"/>
      <w:bookmarkStart w:id="27" w:name="_Toc452108763"/>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pPr>
        <w:pStyle w:val="3"/>
        <w:ind w:firstLine="420"/>
        <w:rPr>
          <w:lang w:val="en-US"/>
        </w:rPr>
      </w:pPr>
      <w:bookmarkStart w:id="29" w:name="_Toc451698935"/>
      <w:bookmarkStart w:id="30" w:name="_Toc452108764"/>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19142"/>
      <w:r>
        <w:rPr>
          <w:rFonts w:hint="eastAsia"/>
        </w:rPr>
        <w:t>计算原理</w:t>
      </w:r>
      <w:bookmarkEnd w:id="29"/>
      <w:bookmarkEnd w:id="30"/>
      <w:bookmarkEnd w:id="36"/>
    </w:p>
    <w:p>
      <w:pPr>
        <w:pStyle w:val="4"/>
        <w:numPr>
          <w:ilvl w:val="1"/>
          <w:numId w:val="3"/>
        </w:numPr>
      </w:pPr>
      <w:bookmarkStart w:id="37" w:name="_Toc509844740"/>
      <w:bookmarkStart w:id="38" w:name="_Toc11399"/>
      <w:bookmarkStart w:id="39" w:name="_Toc451698937"/>
      <w:bookmarkStart w:id="40" w:name="_Toc452108765"/>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季节1"/>
      <w:bookmarkStart w:id="42" w:name="_Toc32506"/>
      <w:r>
        <w:rPr>
          <w:rFonts w:hint="eastAsia"/>
        </w:rPr>
        <w:t>冬季</w:t>
      </w:r>
      <w:bookmarkEnd w:id="41"/>
      <w:r>
        <w:rPr>
          <w:rFonts w:hint="eastAsia"/>
        </w:rPr>
        <w:t>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3" w:name="季节2"/>
      <w:r>
        <w:rPr>
          <w:rFonts w:hint="eastAsia" w:ascii="黑体" w:hAnsi="黑体" w:eastAsia="黑体"/>
          <w:sz w:val="20"/>
          <w:szCs w:val="20"/>
        </w:rPr>
        <w:t>冬季</w:t>
      </w:r>
      <w:bookmarkEnd w:id="4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X尺寸"/>
            <w:r>
              <w:t>311</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Y尺寸"/>
            <w:r>
              <w:t>287</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Z尺寸"/>
            <w:r>
              <w:t>119</w:t>
            </w:r>
            <w:bookmarkEnd w:id="46"/>
          </w:p>
        </w:tc>
      </w:tr>
    </w:tbl>
    <w:p>
      <w:pPr>
        <w:pStyle w:val="3"/>
        <w:ind w:firstLine="0" w:firstLineChars="0"/>
        <w:jc w:val="center"/>
        <w:rPr>
          <w:lang w:val="en-US"/>
        </w:rPr>
      </w:pPr>
      <w:bookmarkStart w:id="47" w:name="冬季工况风场计算域图示"/>
      <w:bookmarkEnd w:id="47"/>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8" w:name="季节3"/>
      <w:r>
        <w:rPr>
          <w:rFonts w:hint="eastAsia" w:ascii="黑体" w:hAnsi="黑体"/>
        </w:rPr>
        <w:t>冬季</w:t>
      </w:r>
      <w:bookmarkEnd w:id="48"/>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bookmarkEnd w:id="4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6765"/>
      <w:bookmarkStart w:id="51" w:name="_Toc509844741"/>
      <w:r>
        <w:rPr>
          <w:rFonts w:hint="eastAsia"/>
        </w:rPr>
        <w:t>网格划分</w:t>
      </w:r>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7"/>
      <w:bookmarkStart w:id="53" w:name="OLE_LINK276"/>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5"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bookmarkEnd w:id="55"/>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6" w:name="冬季网格总数"/>
            <w:r>
              <w:t>210663</w:t>
            </w:r>
            <w:bookmarkEnd w:id="5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分弧精度"/>
            <w:r>
              <w:t>0.24</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初始网格"/>
            <w:r>
              <w:t>8.0</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小细分级数"/>
            <w:r>
              <w:t>1</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最大细分级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远场细分级数"/>
            <w:r>
              <w:t>1</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近场细分级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地面附面层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建筑附面层数"/>
            <w:r>
              <w:t>0</w:t>
            </w:r>
            <w:bookmarkEnd w:id="64"/>
          </w:p>
        </w:tc>
      </w:tr>
      <w:bookmarkEnd w:id="0"/>
      <w:bookmarkEnd w:id="1"/>
      <w:bookmarkEnd w:id="2"/>
    </w:tbl>
    <w:p>
      <w:pPr>
        <w:rPr>
          <w:szCs w:val="21"/>
          <w:lang w:val="en-US"/>
        </w:rPr>
      </w:pPr>
    </w:p>
    <w:p>
      <w:pPr>
        <w:jc w:val="center"/>
      </w:pPr>
      <w:bookmarkStart w:id="65" w:name="网格图"/>
      <w:bookmarkEnd w:id="65"/>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6" w:name="季节"/>
      <w:r>
        <w:rPr>
          <w:rFonts w:hint="eastAsia" w:ascii="黑体" w:hAnsi="黑体" w:eastAsia="黑体"/>
          <w:sz w:val="20"/>
          <w:szCs w:val="20"/>
        </w:rPr>
        <w:t>冬季</w:t>
      </w:r>
      <w:bookmarkEnd w:id="66"/>
    </w:p>
    <w:p>
      <w:pPr>
        <w:pStyle w:val="3"/>
        <w:ind w:firstLine="630" w:firstLineChars="300"/>
        <w:rPr>
          <w:rFonts w:ascii="黑体" w:hAnsi="黑体" w:eastAsia="黑体"/>
          <w:szCs w:val="20"/>
          <w:lang w:val="en-US"/>
        </w:rPr>
      </w:pPr>
      <w:bookmarkStart w:id="67" w:name="网格划分信息"/>
      <w:bookmarkEnd w:id="67"/>
      <w:r>
        <w:rPr>
          <w:rFonts w:hint="eastAsia" w:ascii="黑体" w:hAnsi="黑体" w:eastAsia="黑体"/>
          <w:szCs w:val="20"/>
          <w:lang w:val="en-US"/>
        </w:rPr>
        <w:t>注：前述计算域随风向不同，所以相同的网格方案会产生不同的网格数量。</w:t>
      </w:r>
    </w:p>
    <w:bookmarkEnd w:id="51"/>
    <w:p>
      <w:pPr>
        <w:pStyle w:val="3"/>
        <w:ind w:firstLine="0" w:firstLineChars="0"/>
        <w:rPr>
          <w:rFonts w:ascii="黑体" w:hAnsi="黑体" w:eastAsia="黑体"/>
          <w:szCs w:val="20"/>
          <w:lang w:val="en-US"/>
        </w:rPr>
      </w:pPr>
    </w:p>
    <w:p>
      <w:pPr>
        <w:pStyle w:val="4"/>
        <w:numPr>
          <w:ilvl w:val="1"/>
          <w:numId w:val="3"/>
        </w:numPr>
      </w:pPr>
      <w:bookmarkStart w:id="68" w:name="_Toc509844742"/>
      <w:bookmarkStart w:id="69" w:name="_Toc25048"/>
      <w:r>
        <w:rPr>
          <w:rFonts w:hint="eastAsia"/>
        </w:rPr>
        <w:t>边界条件</w:t>
      </w:r>
      <w:bookmarkEnd w:id="68"/>
      <w:bookmarkEnd w:id="6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0" w:name="_Toc1982"/>
      <w:bookmarkStart w:id="71" w:name="_Toc509844743"/>
      <w:r>
        <w:rPr>
          <w:rFonts w:hint="eastAsia"/>
        </w:rPr>
        <w:t>入口与出口边界条件</w:t>
      </w:r>
      <w:bookmarkEnd w:id="70"/>
      <w:bookmarkEnd w:id="7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3" w:name="_Toc1358"/>
      <w:bookmarkStart w:id="74" w:name="_Toc509844744"/>
      <w:r>
        <w:rPr>
          <w:rFonts w:hint="eastAsia"/>
        </w:rPr>
        <w:t>壁面边界条件</w:t>
      </w:r>
      <w:bookmarkEnd w:id="73"/>
      <w:bookmarkEnd w:id="7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5" w:name="_Toc21452"/>
      <w:r>
        <w:rPr>
          <w:rFonts w:hint="eastAsia"/>
        </w:rPr>
        <w:t>湍流模型</w:t>
      </w:r>
      <w:bookmarkEnd w:id="39"/>
      <w:bookmarkEnd w:id="40"/>
      <w:bookmarkEnd w:id="7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6" w:name="_Toc5109"/>
      <w:bookmarkStart w:id="77" w:name="_Toc451698939"/>
      <w:bookmarkStart w:id="78" w:name="_Toc452108767"/>
      <w:r>
        <w:rPr>
          <w:rFonts w:hint="eastAsia"/>
        </w:rPr>
        <w:t>求解计算</w:t>
      </w:r>
      <w:bookmarkEnd w:id="76"/>
      <w:bookmarkEnd w:id="77"/>
      <w:bookmarkEnd w:id="7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9"/>
      <w:r>
        <w:rPr>
          <w:rFonts w:hint="eastAsia" w:ascii="黑体" w:hAnsi="黑体" w:eastAsia="黑体"/>
          <w:sz w:val="20"/>
          <w:szCs w:val="20"/>
        </w:rPr>
        <w:t xml:space="preserve"> </w:t>
      </w:r>
      <w:bookmarkStart w:id="80" w:name="_Ref225175618"/>
      <w:r>
        <w:rPr>
          <w:rFonts w:hint="eastAsia" w:ascii="黑体" w:hAnsi="黑体" w:eastAsia="黑体"/>
          <w:sz w:val="20"/>
          <w:szCs w:val="20"/>
        </w:rPr>
        <w:t>计算流体力学的控制方程</w:t>
      </w:r>
      <w:bookmarkEnd w:id="8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pPr>
        <w:pStyle w:val="4"/>
      </w:pPr>
      <w:bookmarkStart w:id="81" w:name="_Toc509844747"/>
      <w:bookmarkStart w:id="82" w:name="_Toc3325"/>
      <w:r>
        <w:rPr>
          <w:rFonts w:hint="eastAsia"/>
        </w:rPr>
        <w:t>风速放大系数计算</w:t>
      </w:r>
      <w:bookmarkEnd w:id="81"/>
      <w:bookmarkEnd w:id="8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4" w:name="_Toc452108768"/>
      <w:bookmarkStart w:id="85" w:name="_Toc11356"/>
      <w:r>
        <w:rPr>
          <w:rFonts w:hint="eastAsia"/>
        </w:rPr>
        <w:t>结果</w:t>
      </w:r>
      <w:r>
        <w:t>分析</w:t>
      </w:r>
      <w:bookmarkEnd w:id="84"/>
      <w:bookmarkEnd w:id="85"/>
    </w:p>
    <w:p>
      <w:pPr>
        <w:pStyle w:val="4"/>
        <w:rPr>
          <w:szCs w:val="21"/>
        </w:rPr>
      </w:pPr>
      <w:bookmarkStart w:id="86" w:name="_Toc30505"/>
      <w:r>
        <w:rPr>
          <w:rFonts w:hint="eastAsia"/>
          <w:szCs w:val="21"/>
        </w:rPr>
        <w:t>工况</w:t>
      </w:r>
      <w:r>
        <w:rPr>
          <w:szCs w:val="21"/>
        </w:rPr>
        <w:t>表</w:t>
      </w:r>
      <w:bookmarkEnd w:id="8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7.00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67.5</w:t>
            </w:r>
          </w:p>
        </w:tc>
      </w:tr>
      <w:bookmarkEnd w:id="8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8" w:name="_Toc509844750"/>
      <w:bookmarkStart w:id="89" w:name="_Toc18159"/>
      <w:r>
        <w:rPr>
          <w:rFonts w:hint="eastAsia"/>
        </w:rPr>
        <w:t>冬季工况</w:t>
      </w:r>
      <w:bookmarkEnd w:id="88"/>
      <w:bookmarkEnd w:id="89"/>
    </w:p>
    <w:p>
      <w:pPr>
        <w:ind w:firstLine="420" w:firstLineChars="200"/>
        <w:jc w:val="both"/>
      </w:pPr>
      <w:r>
        <w:rPr>
          <w:rFonts w:hint="eastAsia"/>
          <w:lang w:val="en-US"/>
        </w:rPr>
        <w:t>本项目冬季工况的入口边界风速为</w:t>
      </w:r>
      <w:bookmarkStart w:id="90" w:name="冬季入口边界风速"/>
      <w:r>
        <w:rPr>
          <w:rFonts w:hint="eastAsia" w:ascii="Calibri" w:hAnsi="Calibri"/>
          <w:szCs w:val="21"/>
        </w:rPr>
        <w:t>7.00</w:t>
      </w:r>
      <w:bookmarkEnd w:id="90"/>
      <w:r>
        <w:rPr>
          <w:rFonts w:ascii="Calibri" w:hAnsi="Calibri"/>
          <w:szCs w:val="21"/>
        </w:rPr>
        <w:t>m/s</w:t>
      </w:r>
      <w:r>
        <w:rPr>
          <w:rFonts w:hint="eastAsia" w:ascii="Calibri" w:hAnsi="Calibri"/>
          <w:szCs w:val="21"/>
        </w:rPr>
        <w:t>，风向为</w:t>
      </w:r>
      <w:bookmarkStart w:id="91" w:name="冬季入口边界风向"/>
      <w:r>
        <w:rPr>
          <w:szCs w:val="21"/>
        </w:rPr>
        <w:t>NNE</w:t>
      </w:r>
      <w:bookmarkEnd w:id="91"/>
      <w:r>
        <w:rPr>
          <w:rFonts w:hint="eastAsia"/>
          <w:szCs w:val="21"/>
        </w:rPr>
        <w:t>。</w:t>
      </w:r>
    </w:p>
    <w:p>
      <w:pPr>
        <w:pStyle w:val="5"/>
      </w:pPr>
      <w:bookmarkStart w:id="92" w:name="_Toc509844751"/>
      <w:bookmarkStart w:id="93" w:name="_Toc10440"/>
      <w:r>
        <w:rPr>
          <w:rFonts w:hint="eastAsia"/>
        </w:rPr>
        <w:t>风速达标分析</w:t>
      </w:r>
      <w:bookmarkEnd w:id="92"/>
      <w:bookmarkEnd w:id="93"/>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4" w:name="冬季工况人行区风速分析结论"/>
      <w:bookmarkEnd w:id="94"/>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5" w:name="冬季工况人行区风速云图"/>
      <w:bookmarkEnd w:id="95"/>
      <w:r>
        <w:drawing>
          <wp:inline distT="0" distB="0" distL="0" distR="0">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6" w:name="_Toc509844752"/>
      <w:bookmarkStart w:id="97" w:name="_Toc10929"/>
      <w:r>
        <w:rPr>
          <w:rFonts w:hint="eastAsia"/>
        </w:rPr>
        <w:t>风速放大系数达标分析</w:t>
      </w:r>
      <w:bookmarkEnd w:id="96"/>
      <w:bookmarkEnd w:id="97"/>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8" w:name="冬季工况人行区风速放大系数分析结论"/>
      <w:bookmarkEnd w:id="98"/>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9" w:name="冬季工况人行区风速放大系数云图"/>
      <w:bookmarkEnd w:id="99"/>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100" w:name="_Toc509844754"/>
      <w:bookmarkEnd w:id="100"/>
      <w:bookmarkStart w:id="101" w:name="_Toc509844755"/>
      <w:bookmarkEnd w:id="101"/>
      <w:bookmarkStart w:id="102" w:name="_Toc509844756"/>
      <w:bookmarkEnd w:id="102"/>
      <w:bookmarkStart w:id="103" w:name="_Toc509844757"/>
      <w:bookmarkEnd w:id="103"/>
    </w:p>
    <w:p>
      <w:pPr>
        <w:pStyle w:val="3"/>
        <w:ind w:firstLine="420"/>
        <w:rPr>
          <w:lang w:val="en-US"/>
        </w:rPr>
      </w:pPr>
    </w:p>
    <w:p>
      <w:pPr>
        <w:pStyle w:val="5"/>
      </w:pPr>
      <w:bookmarkStart w:id="104" w:name="_Toc509844753"/>
      <w:bookmarkStart w:id="105" w:name="_Toc7631"/>
      <w:r>
        <w:rPr>
          <w:rFonts w:hint="eastAsia"/>
        </w:rPr>
        <w:t>冬季工况风速/风速放大系数达标</w:t>
      </w:r>
      <w:bookmarkEnd w:id="104"/>
      <w:r>
        <w:rPr>
          <w:rFonts w:hint="eastAsia"/>
        </w:rPr>
        <w:t>结果汇总</w:t>
      </w:r>
      <w:bookmarkEnd w:id="10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风速是否有超限区域"/>
            <w:r>
              <w:rPr>
                <w:rFonts w:hint="eastAsia" w:ascii="宋体" w:hAnsi="宋体" w:cs="宋体"/>
                <w:color w:val="000000"/>
                <w:sz w:val="22"/>
                <w:szCs w:val="22"/>
                <w:lang w:val="en-US"/>
              </w:rPr>
              <w:t>否</w:t>
            </w:r>
            <w:bookmarkEnd w:id="10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风速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8" w:name="冬季工况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9" w:name="冬季工况风速放大系数达标判断"/>
            <w:r>
              <w:rPr>
                <w:rFonts w:hint="eastAsia" w:ascii="宋体" w:hAnsi="宋体" w:cs="宋体"/>
                <w:color w:val="000000"/>
                <w:sz w:val="22"/>
                <w:szCs w:val="22"/>
                <w:lang w:val="en-US"/>
              </w:rPr>
              <w:t>是</w:t>
            </w:r>
            <w:bookmarkEnd w:id="109"/>
          </w:p>
        </w:tc>
      </w:tr>
    </w:tbl>
    <w:p/>
    <w:p>
      <w:pPr>
        <w:pStyle w:val="5"/>
      </w:pPr>
      <w:bookmarkStart w:id="110" w:name="_Toc19544"/>
      <w:r>
        <w:rPr>
          <w:rFonts w:hint="eastAsia"/>
        </w:rPr>
        <w:t>建筑迎风面和背风面风压分析</w:t>
      </w:r>
      <w:bookmarkEnd w:id="13"/>
      <w:bookmarkEnd w:id="110"/>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1" w:name="冬季工况建筑迎风面风压云图"/>
      <w:bookmarkEnd w:id="111"/>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2" w:name="冬季工况建筑背风面风压云图"/>
      <w:bookmarkEnd w:id="112"/>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3" w:name="建筑迎风面和背风面风压差计算结果"/>
      <w:r>
        <w:rPr>
          <w:rFonts w:hint="eastAsia"/>
        </w:rPr>
        <w:t>建筑迎风面和背风面风压差计算结果</w:t>
      </w:r>
    </w:p>
    <w:p>
      <w:pPr>
        <w:jc w:val="center"/>
        <w:rPr>
          <w:rFonts w:ascii="Cambria" w:hAnsi="Cambria" w:eastAsia="黑体"/>
          <w:sz w:val="20"/>
        </w:rPr>
      </w:pPr>
      <w:bookmarkStart w:id="114"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5" w:name="建筑迎背风面风压差表_建筑名"/>
      <w:r>
        <w:rPr>
          <w:rFonts w:ascii="Cambria" w:hAnsi="Cambria" w:eastAsia="黑体"/>
          <w:sz w:val="20"/>
        </w:rPr>
        <w:t>DT单体</w:t>
      </w:r>
      <w:bookmarkEnd w:id="115"/>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4.61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-11.97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7.78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6.83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-12.15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-9.50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7.04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-11.63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18.67</w:t>
            </w:r>
          </w:p>
        </w:tc>
      </w:tr>
      <w:bookmarkEnd w:id="114"/>
    </w:tbl>
    <w:p>
      <w:bookmarkStart w:id="116" w:name="结论"/>
      <w:bookmarkEnd w:id="116"/>
      <w:r>
        <w:t>标准要求：迎背风面窗平均风压差（绝对值）≤5Pa。结论：该楼</w:t>
      </w:r>
      <w:r>
        <w:rPr>
          <w:b/>
          <w:color w:val="auto"/>
        </w:rPr>
        <w:t>达标</w:t>
      </w:r>
      <w:r>
        <w:t>。</w:t>
      </w:r>
    </w:p>
    <w:bookmarkEnd w:id="113"/>
    <w:p>
      <w:pPr>
        <w:jc w:val="center"/>
        <w:rPr>
          <w:rFonts w:ascii="Cambria" w:hAnsi="Cambria" w:eastAsia="黑体"/>
          <w:sz w:val="20"/>
        </w:rPr>
      </w:pPr>
      <w:bookmarkStart w:id="117" w:name="建筑迎背风面风压差表_新增"/>
      <w:bookmarkEnd w:id="117"/>
    </w:p>
    <w:bookmarkEnd w:id="20"/>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8"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w:t>
            </w:r>
          </w:p>
        </w:tc>
        <w:tc>
          <w:tcPr>
            <w:tcW w:w="1276" w:type="dxa"/>
            <w:shd w:val="clear" w:color="auto" w:fill="auto"/>
            <w:vAlign w:val="center"/>
          </w:tcPr>
          <w:p>
            <w:pPr>
              <w:jc w:val="center"/>
              <w:rPr>
                <w:lang w:val="en-US"/>
              </w:rPr>
            </w:pPr>
            <w:r>
              <w:rPr>
                <w:lang w:val="en-US"/>
              </w:rPr>
              <w:t>7.04</w:t>
            </w:r>
          </w:p>
        </w:tc>
        <w:tc>
          <w:tcPr>
            <w:tcW w:w="1276" w:type="dxa"/>
            <w:shd w:val="clear" w:color="auto" w:fill="auto"/>
            <w:vAlign w:val="center"/>
          </w:tcPr>
          <w:p>
            <w:pPr>
              <w:jc w:val="center"/>
              <w:rPr>
                <w:lang w:val="en-US"/>
              </w:rPr>
            </w:pPr>
            <w:r>
              <w:rPr>
                <w:lang w:val="en-US"/>
              </w:rPr>
              <w:t>-11.63</w:t>
            </w:r>
          </w:p>
        </w:tc>
        <w:tc>
          <w:tcPr>
            <w:tcW w:w="1701" w:type="dxa"/>
            <w:shd w:val="clear" w:color="auto" w:fill="auto"/>
            <w:vAlign w:val="center"/>
          </w:tcPr>
          <w:p>
            <w:pPr>
              <w:jc w:val="center"/>
              <w:rPr>
                <w:rFonts w:hint="default" w:eastAsia="宋体"/>
                <w:color w:val="auto"/>
                <w:lang w:val="en-US" w:eastAsia="zh-CN"/>
              </w:rPr>
            </w:pPr>
            <w:r>
              <w:rPr>
                <w:rFonts w:hint="eastAsia"/>
                <w:color w:val="auto"/>
                <w:lang w:val="en-US" w:eastAsia="zh-CN"/>
              </w:rPr>
              <w:t>4.32</w:t>
            </w:r>
          </w:p>
        </w:tc>
        <w:tc>
          <w:tcPr>
            <w:tcW w:w="973" w:type="dxa"/>
            <w:shd w:val="clear" w:color="auto" w:fill="auto"/>
            <w:vAlign w:val="center"/>
          </w:tcPr>
          <w:p>
            <w:pPr>
              <w:jc w:val="center"/>
              <w:rPr>
                <w:rFonts w:hint="eastAsia" w:eastAsia="宋体"/>
                <w:color w:val="auto"/>
                <w:lang w:val="en-US" w:eastAsia="zh-CN"/>
              </w:rPr>
            </w:pPr>
            <w:r>
              <w:rPr>
                <w:rFonts w:hint="eastAsia"/>
                <w:color w:val="auto"/>
                <w:lang w:val="en-US" w:eastAsia="zh-CN"/>
              </w:rPr>
              <w:t>是</w:t>
            </w:r>
          </w:p>
        </w:tc>
      </w:tr>
      <w:bookmarkEnd w:id="118"/>
    </w:tbl>
    <w:p>
      <w:pPr>
        <w:rPr>
          <w:lang w:val="en-US"/>
        </w:rPr>
      </w:pPr>
      <w:bookmarkStart w:id="119" w:name="建筑迎风和背风面风压差结论汇总结论"/>
      <w:bookmarkEnd w:id="119"/>
      <w:r>
        <w:rPr>
          <w:lang w:val="en-US"/>
        </w:rPr>
        <w:t>结论：本项目中参评建筑迎背风压差</w:t>
      </w:r>
      <w:r>
        <w:rPr>
          <w:rFonts w:hint="eastAsia"/>
          <w:lang w:val="en-US" w:eastAsia="zh-CN"/>
        </w:rPr>
        <w:t>未</w:t>
      </w:r>
      <w:r>
        <w:rPr>
          <w:b/>
          <w:color w:val="auto"/>
          <w:lang w:val="en-US"/>
        </w:rPr>
        <w:t>超过</w:t>
      </w:r>
      <w:r>
        <w:rPr>
          <w:lang w:val="en-US"/>
        </w:rPr>
        <w:t>5Pa，</w:t>
      </w:r>
      <w:r>
        <w:rPr>
          <w:b/>
          <w:color w:val="auto"/>
          <w:lang w:val="en-US"/>
        </w:rPr>
        <w:t>满足</w:t>
      </w:r>
      <w:r>
        <w:rPr>
          <w:lang w:val="en-US"/>
        </w:rPr>
        <w:t>“除迎风第一排建筑外，建筑迎风面与背风面表面风压差不超过5Pa”的要求，该条不得分。</w:t>
      </w:r>
    </w:p>
    <w:p>
      <w:pPr>
        <w:rPr>
          <w:lang w:val="en-US"/>
        </w:rPr>
      </w:pPr>
      <w:bookmarkStart w:id="120" w:name="冬季工况"/>
      <w:bookmarkEnd w:id="120"/>
      <w:r>
        <w:rPr>
          <w:rFonts w:hint="eastAsia"/>
          <w:lang w:val="en-US"/>
        </w:rPr>
        <w:t xml:space="preserve"> </w:t>
      </w:r>
    </w:p>
    <w:p>
      <w:pPr>
        <w:rPr>
          <w:lang w:val="en-US"/>
        </w:rPr>
      </w:pPr>
      <w:bookmarkStart w:id="121" w:name="其他工况"/>
      <w:bookmarkEnd w:id="121"/>
      <w:r>
        <w:rPr>
          <w:rFonts w:hint="eastAsia"/>
          <w:lang w:val="en-US"/>
        </w:rPr>
        <w:t xml:space="preserve"> </w:t>
      </w:r>
    </w:p>
    <w:p>
      <w:pPr>
        <w:pStyle w:val="4"/>
      </w:pPr>
      <w:bookmarkStart w:id="122" w:name="_Toc4550"/>
      <w:bookmarkStart w:id="123" w:name="_Toc509844764"/>
      <w:r>
        <w:rPr>
          <w:rFonts w:hint="eastAsia"/>
        </w:rPr>
        <w:t>结论</w:t>
      </w:r>
      <w:bookmarkEnd w:id="122"/>
      <w:bookmarkEnd w:id="123"/>
    </w:p>
    <w:p>
      <w:pPr>
        <w:pStyle w:val="5"/>
      </w:pPr>
      <w:bookmarkStart w:id="124" w:name="_Toc21585"/>
      <w:bookmarkStart w:id="125" w:name="_Toc509844765"/>
      <w:r>
        <w:rPr>
          <w:rFonts w:hint="eastAsia"/>
        </w:rPr>
        <w:t>冬季工况达标判断</w:t>
      </w:r>
      <w:bookmarkEnd w:id="124"/>
      <w:bookmarkEnd w:id="125"/>
      <w:bookmarkStart w:id="126" w:name="_Toc509844766"/>
      <w:bookmarkEnd w:id="12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7" w:name="标准要求冬季风速得分"/>
            <w:r>
              <w:rPr>
                <w:rFonts w:hint="eastAsia"/>
                <w:lang w:val="en-US"/>
              </w:rPr>
              <w:t>3</w:t>
            </w:r>
            <w:bookmarkEnd w:id="127"/>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8" w:name="冬季风速结果计算域"/>
            <w:r>
              <w:t>没有出现</w:t>
            </w:r>
            <w:bookmarkEnd w:id="12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29" w:name="冬季风速达标判定"/>
            <w:r>
              <w:rPr>
                <w:rFonts w:hint="eastAsia"/>
                <w:b/>
                <w:lang w:val="en-US"/>
              </w:rPr>
              <w:t>达标</w:t>
            </w:r>
            <w:bookmarkEnd w:id="129"/>
          </w:p>
        </w:tc>
        <w:tc>
          <w:tcPr>
            <w:tcW w:w="1416" w:type="dxa"/>
            <w:vMerge w:val="restart"/>
            <w:tcBorders>
              <w:top w:val="single" w:color="auto" w:sz="4" w:space="0"/>
            </w:tcBorders>
            <w:shd w:val="clear" w:color="auto" w:fill="auto"/>
            <w:vAlign w:val="center"/>
          </w:tcPr>
          <w:p>
            <w:pPr>
              <w:jc w:val="center"/>
              <w:rPr>
                <w:lang w:val="en-US"/>
              </w:rPr>
            </w:pPr>
            <w:bookmarkStart w:id="130" w:name="冬季风速得分"/>
            <w:r>
              <w:rPr>
                <w:rFonts w:hint="eastAsia"/>
                <w:lang w:val="en-US"/>
              </w:rPr>
              <w:t>3</w:t>
            </w:r>
            <w:bookmarkEnd w:id="13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31" w:name="冬季风速放大系数结果计算域"/>
            <w:r>
              <w:t>没有出现</w:t>
            </w:r>
            <w:bookmarkEnd w:id="131"/>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2" w:name="标准要求冬季风压得分"/>
            <w:r>
              <w:rPr>
                <w:rFonts w:hint="eastAsia"/>
                <w:lang w:val="en-US"/>
              </w:rPr>
              <w:t>2</w:t>
            </w:r>
            <w:bookmarkEnd w:id="132"/>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r>
              <w:rPr>
                <w:rFonts w:hint="eastAsia"/>
                <w:lang w:val="en-US" w:eastAsia="zh-CN"/>
              </w:rPr>
              <w:t>未出现</w:t>
            </w:r>
            <w:bookmarkStart w:id="137" w:name="_GoBack"/>
            <w:bookmarkEnd w:id="137"/>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3" w:name="冬季迎背风面达标判定"/>
            <w:r>
              <w:rPr>
                <w:rFonts w:hint="eastAsia"/>
                <w:b/>
                <w:color w:val="auto"/>
                <w:lang w:val="en-US"/>
              </w:rPr>
              <w:t>达标</w:t>
            </w:r>
            <w:bookmarkEnd w:id="133"/>
          </w:p>
        </w:tc>
        <w:tc>
          <w:tcPr>
            <w:tcW w:w="1416" w:type="dxa"/>
            <w:shd w:val="clear" w:color="auto" w:fill="auto"/>
            <w:vAlign w:val="center"/>
          </w:tcPr>
          <w:p>
            <w:pPr>
              <w:jc w:val="center"/>
              <w:rPr>
                <w:lang w:val="en-US"/>
              </w:rPr>
            </w:pPr>
            <w:r>
              <w:rPr>
                <w:rFonts w:hint="eastAsia"/>
                <w:lang w:val="en-US" w:eastAsia="zh-CN"/>
              </w:rPr>
              <w:t>2</w:t>
            </w:r>
            <w:r>
              <w:rPr>
                <w:rFonts w:hint="eastAsia"/>
                <w:lang w:val="en-US"/>
              </w:rPr>
              <w:t>分</w:t>
            </w:r>
          </w:p>
        </w:tc>
      </w:tr>
    </w:tbl>
    <w:p>
      <w:pPr>
        <w:rPr>
          <w:szCs w:val="21"/>
          <w:lang w:val="en-US"/>
        </w:rPr>
      </w:pPr>
      <w:bookmarkStart w:id="134" w:name="_Toc509844767"/>
      <w:bookmarkEnd w:id="134"/>
      <w:bookmarkStart w:id="135" w:name="_Toc509844768"/>
      <w:bookmarkEnd w:id="135"/>
    </w:p>
    <w:p>
      <w:pPr>
        <w:pStyle w:val="3"/>
        <w:ind w:firstLine="0" w:firstLineChars="0"/>
        <w:rPr>
          <w:lang w:val="en-US"/>
        </w:rPr>
      </w:pPr>
      <w:r>
        <w:rPr>
          <w:rFonts w:hint="eastAsia"/>
          <w:lang w:val="en-US"/>
        </w:rPr>
        <w:t>综合上述达标判断详表的信息，可知本项目得分为</w:t>
      </w:r>
      <w:bookmarkStart w:id="136" w:name="总得分"/>
      <w:r>
        <w:rPr>
          <w:rFonts w:hint="eastAsia"/>
          <w:lang w:val="en-US"/>
        </w:rPr>
        <w:t>3</w:t>
      </w:r>
      <w:bookmarkEnd w:id="136"/>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MjU1OGQwYTkwY2Y2MmExMDg2ODVlMWI1MWYyZmUifQ=="/>
  </w:docVars>
  <w:rsids>
    <w:rsidRoot w:val="2D235253"/>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2D235253"/>
    <w:rsid w:val="3C36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tmp10.dotx</Template>
  <Pages>18</Pages>
  <Words>4692</Words>
  <Characters>5250</Characters>
  <Lines>41</Lines>
  <Paragraphs>11</Paragraphs>
  <TotalTime>1</TotalTime>
  <ScaleCrop>false</ScaleCrop>
  <LinksUpToDate>false</LinksUpToDate>
  <CharactersWithSpaces>5449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2023-01-01T03:16:00Z</dcterms:created>
  <dc:creator>海鲜汤</dc:creator>
  <cp:lastModifiedBy>海鲜汤</cp:lastModifiedBy>
  <dcterms:modified xsi:type="dcterms:W3CDTF">2023-01-01T08:37:26Z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5E7EA36F956641CD9721909C6BDAA01B</vt:lpwstr>
  </property>
  <property fmtid="{D5CDD505-2E9C-101B-9397-08002B2CF9AE}" pid="3" name="KSOProductBuildVer">
    <vt:lpwstr>2052-11.1.0.12980</vt:lpwstr>
  </property>
</Properties>
</file>