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T18682488781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_Toc16494786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Start w:id="57" w:name="_GoBack"/>
      <w:bookmarkEnd w:id="57"/>
    </w:p>
    <w:p>
      <w:pPr>
        <w:pStyle w:val="16"/>
      </w:pPr>
    </w:p>
    <w:p>
      <w:pPr>
        <w:pStyle w:val="2"/>
      </w:pPr>
      <w:bookmarkStart w:id="11" w:name="_Toc1649476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29.58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106.55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5" w:name="_Toc1649476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649476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6494770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6494772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649477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西北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649477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649477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4039.04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2290.75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1119.36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918.62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1500.31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659.02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1184.94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12.06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6494776"/>
      <w:r>
        <w:rPr>
          <w:rFonts w:hint="eastAsia"/>
        </w:rPr>
        <w:t>规定性设计指标</w:t>
      </w:r>
      <w:bookmarkEnd w:id="35"/>
    </w:p>
    <w:p>
      <w:pPr>
        <w:pStyle w:val="4"/>
      </w:pPr>
      <w:bookmarkStart w:id="36" w:name="_Toc16494777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单体1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979.69</w:t>
            </w:r>
          </w:p>
        </w:tc>
        <w:tc>
          <w:tcPr>
            <w:vAlign w:val="center"/>
          </w:tcPr>
          <w:p>
            <w:r>
              <w:t>1233.40</w:t>
            </w:r>
          </w:p>
        </w:tc>
        <w:tc>
          <w:tcPr>
            <w:vAlign w:val="center"/>
          </w:tcPr>
          <w:p>
            <w:r>
              <w:t>100.00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0.7943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  <w:color w:val="auto"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6494778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702.9</w:t>
            </w:r>
          </w:p>
        </w:tc>
        <w:tc>
          <w:tcPr>
            <w:vAlign w:val="center"/>
          </w:tcPr>
          <w:p>
            <w:r>
              <w:t>1119.4</w:t>
            </w:r>
          </w:p>
        </w:tc>
        <w:tc>
          <w:tcPr>
            <w:vAlign w:val="center"/>
          </w:tcPr>
          <w:p>
            <w:r>
              <w:t>63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40.9</w:t>
            </w:r>
          </w:p>
        </w:tc>
        <w:tc>
          <w:tcPr>
            <w:vAlign w:val="center"/>
          </w:tcPr>
          <w:p>
            <w:r>
              <w:t>65.6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4"/>
      </w:pPr>
      <w:bookmarkStart w:id="40" w:name="_Toc16494779"/>
      <w:r>
        <w:rPr>
          <w:rFonts w:hint="eastAsia"/>
        </w:rPr>
        <w:t>底层通风架空率</w:t>
      </w:r>
      <w:bookmarkEnd w:id="40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单体1</w:t>
            </w:r>
          </w:p>
        </w:tc>
        <w:tc>
          <w:tcPr>
            <w:vAlign w:val="center"/>
          </w:tcPr>
          <w:p>
            <w:r>
              <w:t>10.4</w:t>
            </w:r>
          </w:p>
        </w:tc>
        <w:tc>
          <w:tcPr>
            <w:vAlign w:val="center"/>
          </w:tcPr>
          <w:p>
            <w:r>
              <w:t>1721.7</w:t>
            </w:r>
          </w:p>
        </w:tc>
        <w:tc>
          <w:tcPr>
            <w:vAlign w:val="center"/>
          </w:tcPr>
          <w:p>
            <w:r>
              <w:t>66.8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649478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2285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1500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16494781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1119</w:t>
            </w:r>
          </w:p>
        </w:tc>
        <w:tc>
          <w:tcPr>
            <w:vAlign w:val="center"/>
          </w:tcPr>
          <w:p>
            <w:r>
              <w:t>0.945</w:t>
            </w:r>
          </w:p>
        </w:tc>
        <w:tc>
          <w:tcPr>
            <w:vAlign w:val="center"/>
          </w:tcPr>
          <w:p>
            <w:r>
              <w:t>5.50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0.055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1185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5.37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5.37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1.32</w:t>
            </w:r>
          </w:p>
        </w:tc>
        <w:tc>
          <w:tcPr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16494782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单体1</w:t>
            </w:r>
          </w:p>
        </w:tc>
        <w:tc>
          <w:tcPr>
            <w:vAlign w:val="center"/>
          </w:tcPr>
          <w:p>
            <w:r>
              <w:t>1721.7</w:t>
            </w:r>
          </w:p>
        </w:tc>
        <w:tc>
          <w:tcPr>
            <w:vAlign w:val="center"/>
          </w:tcPr>
          <w:p>
            <w:r>
              <w:t>918.6</w:t>
            </w:r>
          </w:p>
        </w:tc>
        <w:tc>
          <w:tcPr>
            <w:vAlign w:val="center"/>
          </w:tcPr>
          <w:p>
            <w:r>
              <w:t>1721.7</w:t>
            </w:r>
          </w:p>
        </w:tc>
        <w:tc>
          <w:tcPr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1721.7</w:t>
            </w:r>
          </w:p>
        </w:tc>
        <w:tc>
          <w:tcPr>
            <w:vAlign w:val="center"/>
          </w:tcPr>
          <w:p>
            <w:r>
              <w:t>918.6</w:t>
            </w:r>
          </w:p>
        </w:tc>
        <w:tc>
          <w:tcPr>
            <w:vAlign w:val="center"/>
          </w:tcPr>
          <w:p>
            <w:r>
              <w:t>1721.7</w:t>
            </w:r>
          </w:p>
        </w:tc>
        <w:tc>
          <w:tcPr>
            <w:vAlign w:val="center"/>
          </w:tcPr>
          <w:p>
            <w: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16494786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  <w:color w:val="auto"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  <w:color w:val="auto"/>
              </w:rPr>
              <w:t>满足</w:t>
            </w:r>
            <w:bookmarkEnd w:id="56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NkZWRmOGFmZTNkMGEzZjNiZmIyYWQyMzMxOTA4NTUifQ=="/>
  </w:docVars>
  <w:rsids>
    <w:rsidRoot w:val="00217F62"/>
    <w:rsid w:val="001915A3"/>
    <w:rsid w:val="00217F62"/>
    <w:rsid w:val="00A906D8"/>
    <w:rsid w:val="00AB5A74"/>
    <w:rsid w:val="00F071AE"/>
    <w:rsid w:val="3D54230E"/>
    <w:rsid w:val="5B6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Company>ths</Company>
  <Pages>9</Pages>
  <Words>2225</Words>
  <Characters>3522</Characters>
  <Lines>20</Lines>
  <Paragraphs>5</Paragraphs>
  <TotalTime>6</TotalTime>
  <ScaleCrop>false</ScaleCrop>
  <LinksUpToDate>false</LinksUpToDate>
  <CharactersWithSpaces>3579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2020-03-23T09:11:00Z</dcterms:created>
  <dc:creator>human</dc:creator>
  <cp:lastModifiedBy>青言栀子i*</cp:lastModifiedBy>
  <cp:lastPrinted>2411-12-31T16:00:00Z</cp:lastPrinted>
  <dcterms:modified xsi:type="dcterms:W3CDTF">2022-12-19T18:38:29Z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D9BF990D82C747B0B84EE48E99F4AD63</vt:lpwstr>
  </property>
</Properties>
</file>