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Chars="100"/>
        <w:rPr>
          <w:b/>
          <w:bCs/>
          <w:color w:val="000000"/>
          <w:sz w:val="60"/>
          <w:szCs w:val="60"/>
        </w:rPr>
      </w:pPr>
    </w:p>
    <w:p>
      <w:pPr>
        <w:rPr>
          <w:b/>
          <w:bCs/>
          <w:color w:val="000000"/>
          <w:sz w:val="60"/>
          <w:szCs w:val="60"/>
        </w:rPr>
      </w:pPr>
    </w:p>
    <w:p>
      <w:pPr>
        <w:autoSpaceDE w:val="0"/>
        <w:autoSpaceDN w:val="0"/>
        <w:adjustRightInd w:val="0"/>
        <w:jc w:val="left"/>
        <w:rPr>
          <w:rFonts w:eastAsia="黑体"/>
          <w:color w:val="000000"/>
          <w:kern w:val="0"/>
          <w:sz w:val="24"/>
          <w:szCs w:val="24"/>
        </w:rPr>
      </w:pPr>
    </w:p>
    <w:p>
      <w:pPr>
        <w:jc w:val="center"/>
        <w:rPr>
          <w:b/>
          <w:bCs/>
          <w:color w:val="000000"/>
          <w:sz w:val="56"/>
          <w:szCs w:val="60"/>
        </w:rPr>
      </w:pPr>
      <w:r>
        <w:rPr>
          <w:rFonts w:eastAsia="黑体"/>
          <w:b/>
          <w:color w:val="000000"/>
          <w:kern w:val="0"/>
          <w:sz w:val="24"/>
          <w:szCs w:val="24"/>
        </w:rPr>
        <w:t xml:space="preserve"> </w:t>
      </w:r>
      <w:r>
        <w:rPr>
          <w:rFonts w:eastAsia="黑体"/>
          <w:b/>
          <w:color w:val="000000"/>
          <w:kern w:val="0"/>
          <w:sz w:val="72"/>
          <w:szCs w:val="72"/>
        </w:rPr>
        <w:t>建筑日照分析报告书</w:t>
      </w:r>
    </w:p>
    <w:p>
      <w:pPr>
        <w:jc w:val="center"/>
        <w:rPr>
          <w:b/>
          <w:bCs/>
          <w:color w:val="000000"/>
          <w:sz w:val="60"/>
          <w:szCs w:val="60"/>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工程名称</w:t>
            </w:r>
          </w:p>
        </w:tc>
        <w:tc>
          <w:tcPr>
            <w:tcW w:w="3780" w:type="dxa"/>
            <w:tcBorders>
              <w:top w:val="single" w:color="auto" w:sz="12"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bookmarkStart w:id="0" w:name="工程名称"/>
            <w:bookmarkEnd w:id="0"/>
            <w:r>
              <w:rPr>
                <w:rFonts w:hint="eastAsia" w:ascii="微软雅黑" w:hAnsi="微软雅黑" w:eastAsia="微软雅黑" w:cs="微软雅黑"/>
                <w:lang w:val="en-US" w:eastAsia="zh-CN"/>
              </w:rPr>
              <w:t>绿源·愈食---食堂改造项目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设计编号</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bookmarkStart w:id="1" w:name="设计编号"/>
            <w:bookmarkEnd w:id="1"/>
            <w:r>
              <w:rPr>
                <w:rFonts w:hint="eastAsia" w:ascii="微软雅黑" w:hAnsi="微软雅黑" w:eastAsia="微软雅黑" w:cs="微软雅黑"/>
                <w:lang w:val="en-US" w:eastAsia="zh-CN"/>
              </w:rPr>
              <w:t>BKA50579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设计单位</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21"/>
                <w:lang w:val="en-GB"/>
              </w:rPr>
            </w:pPr>
            <w:r>
              <w:rPr>
                <w:rFonts w:hint="eastAsia" w:ascii="微软雅黑" w:hAnsi="微软雅黑" w:eastAsia="微软雅黑" w:cs="微软雅黑"/>
                <w:sz w:val="22"/>
                <w:szCs w:val="22"/>
              </w:rPr>
              <w:t>西南科技大学土木工程与建筑学院</w:t>
            </w:r>
            <w:bookmarkStart w:id="10" w:name="_GoBack"/>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widowControl/>
              <w:snapToGrid w:val="0"/>
              <w:jc w:val="left"/>
              <w:rPr>
                <w:rFonts w:eastAsia="微软雅黑"/>
                <w:bCs/>
                <w:kern w:val="0"/>
                <w:szCs w:val="21"/>
                <w:lang w:val="en-GB"/>
              </w:rPr>
            </w:pPr>
            <w:r>
              <w:rPr>
                <w:rFonts w:eastAsia="微软雅黑"/>
                <w:bCs/>
                <w:kern w:val="0"/>
                <w:szCs w:val="21"/>
                <w:lang w:val="en-GB"/>
              </w:rPr>
              <w:t>计算日期</w:t>
            </w:r>
          </w:p>
        </w:tc>
        <w:tc>
          <w:tcPr>
            <w:tcW w:w="3780" w:type="dxa"/>
            <w:tcBorders>
              <w:top w:val="single" w:color="auto" w:sz="6" w:space="0"/>
              <w:left w:val="single" w:color="auto" w:sz="6" w:space="0"/>
              <w:bottom w:val="single" w:color="auto" w:sz="12" w:space="0"/>
              <w:right w:val="single" w:color="auto" w:sz="12" w:space="0"/>
            </w:tcBorders>
            <w:vAlign w:val="center"/>
          </w:tcPr>
          <w:p>
            <w:pPr>
              <w:widowControl/>
              <w:snapToGrid w:val="0"/>
              <w:jc w:val="center"/>
              <w:rPr>
                <w:rFonts w:hint="default" w:eastAsia="微软雅黑"/>
                <w:bCs/>
                <w:kern w:val="0"/>
                <w:szCs w:val="21"/>
                <w:lang w:val="en-US" w:eastAsia="zh-CN"/>
              </w:rPr>
            </w:pPr>
            <w:bookmarkStart w:id="2" w:name="计算日期"/>
            <w:bookmarkEnd w:id="2"/>
            <w:r>
              <w:rPr>
                <w:rFonts w:hint="eastAsia" w:ascii="微软雅黑" w:hAnsi="微软雅黑" w:eastAsia="微软雅黑" w:cs="微软雅黑"/>
                <w:szCs w:val="21"/>
                <w:lang w:val="en-US" w:eastAsia="zh-CN"/>
              </w:rPr>
              <w:t>2023年3月4日</w:t>
            </w:r>
          </w:p>
        </w:tc>
      </w:tr>
    </w:tbl>
    <w:p>
      <w:pPr>
        <w:rPr>
          <w:b/>
          <w:bCs/>
          <w:color w:val="000000"/>
          <w:sz w:val="32"/>
          <w:szCs w:val="32"/>
        </w:rPr>
      </w:pPr>
    </w:p>
    <w:p>
      <w:pPr>
        <w:jc w:val="center"/>
        <w:rPr>
          <w:b/>
          <w:bCs/>
          <w:color w:val="000000"/>
          <w:sz w:val="32"/>
          <w:szCs w:val="32"/>
        </w:rPr>
      </w:pPr>
      <w:r>
        <w:rPr>
          <w:b/>
          <w:bCs/>
          <w:color w:val="000000"/>
          <w:sz w:val="32"/>
          <w:szCs w:val="32"/>
        </w:rPr>
        <w:drawing>
          <wp:inline distT="0" distB="0" distL="0" distR="0">
            <wp:extent cx="2009775" cy="20097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9775" cy="2009775"/>
                    </a:xfrm>
                    <a:prstGeom prst="rect">
                      <a:avLst/>
                    </a:prstGeom>
                    <a:noFill/>
                    <a:ln>
                      <a:noFill/>
                    </a:ln>
                  </pic:spPr>
                </pic:pic>
              </a:graphicData>
            </a:graphic>
          </wp:inline>
        </w:drawing>
      </w:r>
    </w:p>
    <w:p>
      <w:pPr>
        <w:jc w:val="center"/>
        <w:rPr>
          <w:b/>
          <w:bCs/>
          <w:color w:val="000000"/>
          <w:sz w:val="32"/>
          <w:szCs w:val="32"/>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绿建斯维尔日照分析SUN2020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20190909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研发单位</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r>
              <w:rPr>
                <w:rFonts w:eastAsia="微软雅黑"/>
                <w:bCs/>
                <w:kern w:val="0"/>
                <w:szCs w:val="18"/>
                <w:lang w:val="en-GB"/>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正版授权码</w:t>
            </w:r>
          </w:p>
        </w:tc>
        <w:tc>
          <w:tcPr>
            <w:tcW w:w="3780" w:type="dxa"/>
            <w:tcBorders>
              <w:top w:val="single" w:color="auto" w:sz="6" w:space="0"/>
              <w:left w:val="single" w:color="auto" w:sz="6" w:space="0"/>
              <w:bottom w:val="single" w:color="auto" w:sz="6" w:space="0"/>
              <w:right w:val="single" w:color="auto" w:sz="12" w:space="0"/>
            </w:tcBorders>
            <w:vAlign w:val="center"/>
          </w:tcPr>
          <w:p>
            <w:pPr>
              <w:widowControl/>
              <w:snapToGrid w:val="0"/>
              <w:jc w:val="center"/>
              <w:rPr>
                <w:rFonts w:eastAsia="微软雅黑"/>
                <w:bCs/>
                <w:kern w:val="0"/>
                <w:szCs w:val="18"/>
                <w:lang w:val="en-GB"/>
              </w:rPr>
            </w:pPr>
            <w:bookmarkStart w:id="3" w:name="正版授权码"/>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widowControl/>
              <w:snapToGrid w:val="0"/>
              <w:rPr>
                <w:rFonts w:eastAsia="微软雅黑"/>
                <w:kern w:val="0"/>
                <w:szCs w:val="18"/>
                <w:lang w:val="en-GB"/>
              </w:rPr>
            </w:pPr>
            <w:r>
              <w:rPr>
                <w:rFonts w:eastAsia="微软雅黑"/>
                <w:kern w:val="0"/>
                <w:szCs w:val="18"/>
                <w:lang w:val="en-GB"/>
              </w:rPr>
              <w:t>服务热线</w:t>
            </w:r>
          </w:p>
        </w:tc>
        <w:tc>
          <w:tcPr>
            <w:tcW w:w="3780" w:type="dxa"/>
            <w:tcBorders>
              <w:top w:val="single" w:color="auto" w:sz="6" w:space="0"/>
              <w:left w:val="single" w:color="auto" w:sz="6" w:space="0"/>
              <w:bottom w:val="single" w:color="auto" w:sz="12" w:space="0"/>
              <w:right w:val="single" w:color="auto" w:sz="12" w:space="0"/>
            </w:tcBorders>
            <w:vAlign w:val="center"/>
          </w:tcPr>
          <w:p>
            <w:pPr>
              <w:widowControl/>
              <w:snapToGrid w:val="0"/>
              <w:jc w:val="center"/>
              <w:rPr>
                <w:rFonts w:eastAsia="微软雅黑"/>
                <w:bCs/>
                <w:kern w:val="0"/>
                <w:szCs w:val="18"/>
                <w:lang w:val="en-GB"/>
              </w:rPr>
            </w:pPr>
            <w:r>
              <w:rPr>
                <w:rFonts w:eastAsia="微软雅黑"/>
                <w:bCs/>
                <w:color w:val="000000"/>
                <w:kern w:val="0"/>
                <w:szCs w:val="21"/>
                <w:shd w:val="clear" w:color="auto" w:fill="FFFFFF"/>
                <w:lang w:val="en-GB"/>
              </w:rPr>
              <w:t>400-094-1228</w:t>
            </w:r>
          </w:p>
        </w:tc>
      </w:tr>
    </w:tbl>
    <w:p>
      <w:pPr>
        <w:rPr>
          <w:b/>
          <w:bCs/>
          <w:color w:val="000000"/>
          <w:sz w:val="32"/>
          <w:szCs w:val="32"/>
        </w:rPr>
      </w:pPr>
    </w:p>
    <w:p>
      <w:pPr>
        <w:rPr>
          <w:b/>
          <w:bCs/>
          <w:color w:val="000000"/>
          <w:sz w:val="24"/>
          <w:szCs w:val="32"/>
        </w:rPr>
      </w:pPr>
      <w:r>
        <w:rPr>
          <w:b/>
          <w:bCs/>
          <w:color w:val="000000"/>
          <w:sz w:val="32"/>
          <w:szCs w:val="32"/>
        </w:rPr>
        <w:t>一、</w:t>
      </w:r>
      <w:r>
        <w:rPr>
          <w:b/>
          <w:bCs/>
          <w:color w:val="000000"/>
          <w:sz w:val="24"/>
          <w:szCs w:val="32"/>
        </w:rPr>
        <w:t>日照分析项目情况</w:t>
      </w:r>
    </w:p>
    <w:p>
      <w:pPr>
        <w:spacing w:line="400" w:lineRule="auto"/>
        <w:rPr>
          <w:bCs/>
          <w:color w:val="000000"/>
          <w:sz w:val="24"/>
          <w:szCs w:val="32"/>
        </w:rPr>
      </w:pPr>
      <w:r>
        <w:rPr>
          <w:b/>
          <w:bCs/>
          <w:color w:val="000000"/>
          <w:sz w:val="24"/>
          <w:szCs w:val="32"/>
        </w:rPr>
        <w:t>（一）建设项目基本情况：</w:t>
      </w:r>
    </w:p>
    <w:p>
      <w:pPr>
        <w:spacing w:line="400" w:lineRule="auto"/>
        <w:rPr>
          <w:bCs/>
          <w:color w:val="000000"/>
          <w:sz w:val="24"/>
          <w:szCs w:val="32"/>
        </w:rPr>
      </w:pPr>
      <w:r>
        <w:rPr>
          <w:rFonts w:hint="eastAsia" w:eastAsia="宋体"/>
          <w:b/>
          <w:bCs/>
          <w:sz w:val="24"/>
          <w:szCs w:val="32"/>
          <w:lang w:eastAsia="zh-CN"/>
        </w:rPr>
        <w:drawing>
          <wp:anchor distT="0" distB="0" distL="114300" distR="114300" simplePos="0" relativeHeight="251660288" behindDoc="0" locked="0" layoutInCell="1" allowOverlap="1">
            <wp:simplePos x="0" y="0"/>
            <wp:positionH relativeFrom="column">
              <wp:posOffset>94615</wp:posOffset>
            </wp:positionH>
            <wp:positionV relativeFrom="paragraph">
              <wp:posOffset>133350</wp:posOffset>
            </wp:positionV>
            <wp:extent cx="5859780" cy="2909570"/>
            <wp:effectExtent l="0" t="0" r="7620" b="1270"/>
            <wp:wrapTopAndBottom/>
            <wp:docPr id="4" name="图片 4" descr="日照_t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日照_t8"/>
                    <pic:cNvPicPr>
                      <a:picLocks noChangeAspect="1"/>
                    </pic:cNvPicPr>
                  </pic:nvPicPr>
                  <pic:blipFill>
                    <a:blip r:embed="rId8"/>
                    <a:stretch>
                      <a:fillRect/>
                    </a:stretch>
                  </pic:blipFill>
                  <pic:spPr>
                    <a:xfrm>
                      <a:off x="0" y="0"/>
                      <a:ext cx="5859780" cy="2909570"/>
                    </a:xfrm>
                    <a:prstGeom prst="rect">
                      <a:avLst/>
                    </a:prstGeom>
                  </pic:spPr>
                </pic:pic>
              </a:graphicData>
            </a:graphic>
          </wp:anchor>
        </w:drawing>
      </w:r>
      <w:r>
        <w:rPr>
          <w:bCs/>
          <w:color w:val="000000"/>
          <w:sz w:val="24"/>
          <w:szCs w:val="32"/>
        </w:rPr>
        <w:t xml:space="preserve"> </w:t>
      </w:r>
    </w:p>
    <w:p>
      <w:pPr>
        <w:spacing w:line="440" w:lineRule="exact"/>
        <w:rPr>
          <w:rFonts w:hint="eastAsia" w:eastAsia="宋体"/>
          <w:b/>
          <w:bCs/>
          <w:sz w:val="24"/>
          <w:szCs w:val="32"/>
          <w:lang w:eastAsia="zh-CN"/>
        </w:rPr>
      </w:pPr>
      <w:r>
        <w:rPr>
          <w:b/>
          <w:bCs/>
          <w:color w:val="000000"/>
          <w:sz w:val="24"/>
          <w:szCs w:val="32"/>
        </w:rPr>
        <w:t>（二）</w:t>
      </w:r>
      <w:r>
        <w:rPr>
          <w:b/>
          <w:bCs/>
          <w:sz w:val="24"/>
          <w:szCs w:val="32"/>
        </w:rPr>
        <w:t>基地内拟建建筑基本情况：</w:t>
      </w:r>
      <w:bookmarkStart w:id="4" w:name="NEW_TABLE"/>
      <w:bookmarkEnd w:id="4"/>
    </w:p>
    <w:p>
      <w:pPr>
        <w:spacing w:line="440" w:lineRule="exact"/>
        <w:jc w:val="center"/>
        <w:rPr>
          <w:b/>
          <w:bCs/>
          <w:sz w:val="24"/>
          <w:szCs w:val="32"/>
        </w:rPr>
      </w:pPr>
      <w:r>
        <w:rPr>
          <w:color w:val="000000"/>
          <w:lang w:val="zh-CN"/>
        </w:rPr>
        <w:t>基地内拟建建筑</w:t>
      </w:r>
    </w:p>
    <w:tbl>
      <w:tblPr>
        <w:tblStyle w:val="4"/>
        <w:tblW w:w="850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pPr>
            <w:r>
              <w:t>编号</w:t>
            </w:r>
          </w:p>
        </w:tc>
        <w:tc>
          <w:tcPr>
            <w:tcW w:w="1700" w:type="dxa"/>
            <w:vAlign w:val="center"/>
          </w:tcPr>
          <w:p>
            <w:pPr>
              <w:jc w:val="center"/>
            </w:pPr>
            <w:r>
              <w:t>使用性质</w:t>
            </w:r>
          </w:p>
        </w:tc>
        <w:tc>
          <w:tcPr>
            <w:tcW w:w="1700" w:type="dxa"/>
            <w:vAlign w:val="center"/>
          </w:tcPr>
          <w:p>
            <w:pPr>
              <w:jc w:val="center"/>
            </w:pPr>
            <w:r>
              <w:t>层数</w:t>
            </w:r>
          </w:p>
        </w:tc>
        <w:tc>
          <w:tcPr>
            <w:tcW w:w="1700" w:type="dxa"/>
            <w:vAlign w:val="center"/>
          </w:tcPr>
          <w:p>
            <w:pPr>
              <w:jc w:val="center"/>
            </w:pPr>
            <w:r>
              <w:t>建筑高度(米)</w:t>
            </w:r>
          </w:p>
        </w:tc>
        <w:tc>
          <w:tcPr>
            <w:tcW w:w="1700" w:type="dxa"/>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700" w:type="dxa"/>
            <w:vAlign w:val="center"/>
          </w:tcPr>
          <w:p>
            <w:pPr>
              <w:jc w:val="center"/>
              <w:rPr>
                <w:rFonts w:hint="eastAsia" w:eastAsia="宋体"/>
                <w:lang w:val="en-US" w:eastAsia="zh-CN"/>
              </w:rPr>
            </w:pPr>
            <w:r>
              <w:t>A</w:t>
            </w:r>
            <w:r>
              <w:rPr>
                <w:rFonts w:hint="eastAsia"/>
                <w:lang w:val="en-US" w:eastAsia="zh-CN"/>
              </w:rPr>
              <w:t>1</w:t>
            </w:r>
          </w:p>
        </w:tc>
        <w:tc>
          <w:tcPr>
            <w:tcW w:w="1700" w:type="dxa"/>
          </w:tcPr>
          <w:p>
            <w:pPr>
              <w:jc w:val="center"/>
              <w:rPr>
                <w:rFonts w:hint="eastAsia" w:eastAsia="宋体"/>
                <w:lang w:eastAsia="zh-CN"/>
              </w:rPr>
            </w:pPr>
            <w:r>
              <w:rPr>
                <w:rFonts w:hint="eastAsia"/>
                <w:lang w:val="en-US" w:eastAsia="zh-CN"/>
              </w:rPr>
              <w:t>食堂</w:t>
            </w:r>
          </w:p>
        </w:tc>
        <w:tc>
          <w:tcPr>
            <w:tcW w:w="1700" w:type="dxa"/>
            <w:vAlign w:val="center"/>
          </w:tcPr>
          <w:p>
            <w:pPr>
              <w:jc w:val="center"/>
              <w:rPr>
                <w:rFonts w:hint="eastAsia" w:eastAsia="宋体"/>
                <w:lang w:eastAsia="zh-CN"/>
              </w:rPr>
            </w:pPr>
            <w:r>
              <w:rPr>
                <w:rFonts w:hint="eastAsia"/>
                <w:lang w:val="en-US" w:eastAsia="zh-CN"/>
              </w:rPr>
              <w:t>2</w:t>
            </w:r>
          </w:p>
        </w:tc>
        <w:tc>
          <w:tcPr>
            <w:tcW w:w="1700" w:type="dxa"/>
            <w:vAlign w:val="center"/>
          </w:tcPr>
          <w:p>
            <w:pPr>
              <w:jc w:val="center"/>
              <w:rPr>
                <w:rFonts w:hint="default" w:eastAsia="宋体"/>
                <w:lang w:val="en-US" w:eastAsia="zh-CN"/>
              </w:rPr>
            </w:pPr>
            <w:r>
              <w:rPr>
                <w:rFonts w:hint="eastAsia"/>
                <w:lang w:val="en-US" w:eastAsia="zh-CN"/>
              </w:rPr>
              <w:t>8.45</w:t>
            </w:r>
          </w:p>
        </w:tc>
        <w:tc>
          <w:tcPr>
            <w:tcW w:w="1700" w:type="dxa"/>
            <w:vAlign w:val="center"/>
          </w:tcPr>
          <w:p>
            <w:pPr>
              <w:jc w:val="center"/>
            </w:pPr>
            <w:r>
              <w:t>0.00</w:t>
            </w:r>
          </w:p>
        </w:tc>
      </w:tr>
    </w:tbl>
    <w:p>
      <w:pPr>
        <w:spacing w:line="440" w:lineRule="exact"/>
        <w:rPr>
          <w:bCs/>
          <w:color w:val="000000"/>
          <w:sz w:val="24"/>
          <w:szCs w:val="32"/>
        </w:rPr>
      </w:pPr>
      <w:bookmarkStart w:id="5" w:name="基地内拟建建筑"/>
      <w:bookmarkEnd w:id="5"/>
    </w:p>
    <w:p>
      <w:pPr>
        <w:spacing w:line="440" w:lineRule="exact"/>
        <w:rPr>
          <w:b/>
          <w:bCs/>
          <w:sz w:val="24"/>
          <w:szCs w:val="32"/>
        </w:rPr>
      </w:pPr>
      <w:r>
        <w:rPr>
          <w:b/>
          <w:bCs/>
          <w:color w:val="000000"/>
          <w:sz w:val="24"/>
          <w:szCs w:val="32"/>
        </w:rPr>
        <w:t>（三）</w:t>
      </w:r>
      <w:r>
        <w:rPr>
          <w:b/>
          <w:sz w:val="24"/>
        </w:rPr>
        <w:t>基地遮挡范围内的客体建筑基本情况</w:t>
      </w:r>
      <w:r>
        <w:rPr>
          <w:b/>
          <w:bCs/>
          <w:sz w:val="24"/>
          <w:szCs w:val="32"/>
        </w:rPr>
        <w:t>：</w:t>
      </w:r>
      <w:bookmarkStart w:id="6" w:name="CLIENT_TABLE"/>
      <w:bookmarkEnd w:id="6"/>
    </w:p>
    <w:p>
      <w:pPr>
        <w:spacing w:line="440" w:lineRule="exact"/>
        <w:jc w:val="center"/>
        <w:rPr>
          <w:bCs/>
          <w:color w:val="000000"/>
          <w:sz w:val="24"/>
          <w:szCs w:val="32"/>
        </w:rPr>
      </w:pPr>
      <w:bookmarkStart w:id="7" w:name="基地外阴影分析范围内的客体建筑"/>
      <w:bookmarkEnd w:id="7"/>
      <w:r>
        <w:rPr>
          <w:sz w:val="23"/>
          <w:szCs w:val="23"/>
        </w:rPr>
        <w:t>基地外阴影分析范围内的客体建筑</w:t>
      </w:r>
    </w:p>
    <w:tbl>
      <w:tblPr>
        <w:tblStyle w:val="4"/>
        <w:tblW w:w="8472"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17"/>
        <w:gridCol w:w="1134"/>
        <w:gridCol w:w="992"/>
        <w:gridCol w:w="1560"/>
        <w:gridCol w:w="1559"/>
        <w:gridCol w:w="24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pPr>
            <w:r>
              <w:t>编号</w:t>
            </w:r>
          </w:p>
        </w:tc>
        <w:tc>
          <w:tcPr>
            <w:tcW w:w="1134" w:type="dxa"/>
            <w:vAlign w:val="center"/>
          </w:tcPr>
          <w:p>
            <w:pPr>
              <w:jc w:val="center"/>
            </w:pPr>
            <w:r>
              <w:t>使用性质</w:t>
            </w:r>
          </w:p>
        </w:tc>
        <w:tc>
          <w:tcPr>
            <w:tcW w:w="992" w:type="dxa"/>
            <w:vAlign w:val="center"/>
          </w:tcPr>
          <w:p>
            <w:pPr>
              <w:jc w:val="center"/>
            </w:pPr>
            <w:r>
              <w:t>层数</w:t>
            </w:r>
          </w:p>
        </w:tc>
        <w:tc>
          <w:tcPr>
            <w:tcW w:w="1560" w:type="dxa"/>
            <w:vAlign w:val="center"/>
          </w:tcPr>
          <w:p>
            <w:pPr>
              <w:jc w:val="center"/>
            </w:pPr>
            <w:r>
              <w:t>建筑高度(米)</w:t>
            </w:r>
          </w:p>
        </w:tc>
        <w:tc>
          <w:tcPr>
            <w:tcW w:w="1559" w:type="dxa"/>
            <w:vAlign w:val="center"/>
          </w:tcPr>
          <w:p>
            <w:pPr>
              <w:jc w:val="center"/>
            </w:pPr>
            <w:r>
              <w:t>底标高(米)</w:t>
            </w:r>
          </w:p>
        </w:tc>
        <w:tc>
          <w:tcPr>
            <w:tcW w:w="2410" w:type="dxa"/>
          </w:tcPr>
          <w:p>
            <w:pPr>
              <w:pStyle w:val="12"/>
              <w:jc w:val="center"/>
              <w:rPr>
                <w:rFonts w:ascii="Times New Roman" w:cs="Times New Roman"/>
                <w:szCs w:val="18"/>
              </w:rPr>
            </w:pPr>
            <w:r>
              <w:rPr>
                <w:rFonts w:ascii="Times New Roman" w:cs="Times New Roman"/>
                <w:sz w:val="18"/>
                <w:szCs w:val="18"/>
              </w:rPr>
              <w:t>对其产生遮挡的建筑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pPr>
            <w:r>
              <w:t>B1</w:t>
            </w:r>
          </w:p>
        </w:tc>
        <w:tc>
          <w:tcPr>
            <w:tcW w:w="1134" w:type="dxa"/>
            <w:vAlign w:val="center"/>
          </w:tcPr>
          <w:p>
            <w:pPr>
              <w:jc w:val="center"/>
              <w:rPr>
                <w:rFonts w:hint="default" w:eastAsia="宋体"/>
                <w:lang w:val="en-US" w:eastAsia="zh-CN"/>
              </w:rPr>
            </w:pPr>
            <w:r>
              <w:rPr>
                <w:rFonts w:hint="eastAsia"/>
                <w:lang w:val="en-US" w:eastAsia="zh-CN"/>
              </w:rPr>
              <w:t>宿舍楼</w:t>
            </w:r>
          </w:p>
        </w:tc>
        <w:tc>
          <w:tcPr>
            <w:tcW w:w="992" w:type="dxa"/>
            <w:vAlign w:val="center"/>
          </w:tcPr>
          <w:p>
            <w:pPr>
              <w:jc w:val="center"/>
              <w:rPr>
                <w:rFonts w:hint="eastAsia" w:eastAsia="宋体"/>
                <w:lang w:val="en-US" w:eastAsia="zh-CN"/>
              </w:rPr>
            </w:pPr>
            <w:r>
              <w:rPr>
                <w:rFonts w:hint="eastAsia"/>
                <w:lang w:val="en-US" w:eastAsia="zh-CN"/>
              </w:rPr>
              <w:t>5</w:t>
            </w:r>
          </w:p>
        </w:tc>
        <w:tc>
          <w:tcPr>
            <w:tcW w:w="1560" w:type="dxa"/>
            <w:vAlign w:val="center"/>
          </w:tcPr>
          <w:p>
            <w:pPr>
              <w:jc w:val="center"/>
              <w:rPr>
                <w:rFonts w:hint="default" w:eastAsia="宋体"/>
                <w:lang w:val="en-US" w:eastAsia="zh-CN"/>
              </w:rPr>
            </w:pPr>
            <w:r>
              <w:rPr>
                <w:rFonts w:hint="eastAsia"/>
                <w:lang w:val="en-US" w:eastAsia="zh-CN"/>
              </w:rPr>
              <w:t>21.8</w:t>
            </w:r>
          </w:p>
        </w:tc>
        <w:tc>
          <w:tcPr>
            <w:tcW w:w="1559" w:type="dxa"/>
            <w:vAlign w:val="center"/>
          </w:tcPr>
          <w:p>
            <w:pPr>
              <w:jc w:val="center"/>
            </w:pPr>
            <w:r>
              <w:t>0.00</w:t>
            </w:r>
          </w:p>
        </w:tc>
        <w:tc>
          <w:tcPr>
            <w:tcW w:w="2410" w:type="dxa"/>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pPr>
            <w:r>
              <w:t>B2</w:t>
            </w:r>
          </w:p>
        </w:tc>
        <w:tc>
          <w:tcPr>
            <w:tcW w:w="1134" w:type="dxa"/>
          </w:tcPr>
          <w:p>
            <w:pPr>
              <w:jc w:val="center"/>
            </w:pPr>
            <w:r>
              <w:rPr>
                <w:rFonts w:hint="eastAsia"/>
                <w:lang w:val="en-US" w:eastAsia="zh-CN"/>
              </w:rPr>
              <w:t>宿舍楼</w:t>
            </w:r>
          </w:p>
        </w:tc>
        <w:tc>
          <w:tcPr>
            <w:tcW w:w="992" w:type="dxa"/>
          </w:tcPr>
          <w:p>
            <w:pPr>
              <w:jc w:val="center"/>
              <w:rPr>
                <w:rFonts w:hint="eastAsia" w:eastAsia="宋体"/>
                <w:lang w:eastAsia="zh-CN"/>
              </w:rPr>
            </w:pPr>
            <w:r>
              <w:rPr>
                <w:rFonts w:hint="eastAsia"/>
                <w:lang w:val="en-US" w:eastAsia="zh-CN"/>
              </w:rPr>
              <w:t>5</w:t>
            </w:r>
          </w:p>
        </w:tc>
        <w:tc>
          <w:tcPr>
            <w:tcW w:w="1560" w:type="dxa"/>
            <w:vAlign w:val="center"/>
          </w:tcPr>
          <w:p>
            <w:pPr>
              <w:jc w:val="center"/>
              <w:rPr>
                <w:rFonts w:hint="default" w:eastAsia="宋体"/>
                <w:lang w:val="en-US" w:eastAsia="zh-CN"/>
              </w:rPr>
            </w:pPr>
            <w:r>
              <w:rPr>
                <w:rFonts w:hint="eastAsia"/>
                <w:lang w:val="en-US" w:eastAsia="zh-CN"/>
              </w:rPr>
              <w:t>21.8</w:t>
            </w:r>
          </w:p>
        </w:tc>
        <w:tc>
          <w:tcPr>
            <w:tcW w:w="1559" w:type="dxa"/>
            <w:vAlign w:val="center"/>
          </w:tcPr>
          <w:p>
            <w:pPr>
              <w:jc w:val="center"/>
            </w:pPr>
            <w:r>
              <w:t>0.00</w:t>
            </w:r>
          </w:p>
        </w:tc>
        <w:tc>
          <w:tcPr>
            <w:tcW w:w="2410" w:type="dxa"/>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vAlign w:val="center"/>
          </w:tcPr>
          <w:p>
            <w:pPr>
              <w:jc w:val="center"/>
            </w:pPr>
            <w:r>
              <w:t>B3</w:t>
            </w:r>
          </w:p>
        </w:tc>
        <w:tc>
          <w:tcPr>
            <w:tcW w:w="1134" w:type="dxa"/>
          </w:tcPr>
          <w:p>
            <w:pPr>
              <w:jc w:val="center"/>
            </w:pPr>
            <w:r>
              <w:rPr>
                <w:rFonts w:hint="eastAsia"/>
                <w:lang w:val="en-US" w:eastAsia="zh-CN"/>
              </w:rPr>
              <w:t>宿舍楼</w:t>
            </w:r>
          </w:p>
        </w:tc>
        <w:tc>
          <w:tcPr>
            <w:tcW w:w="992" w:type="dxa"/>
          </w:tcPr>
          <w:p>
            <w:pPr>
              <w:jc w:val="center"/>
              <w:rPr>
                <w:rFonts w:hint="eastAsia" w:eastAsia="宋体"/>
                <w:lang w:eastAsia="zh-CN"/>
              </w:rPr>
            </w:pPr>
            <w:r>
              <w:rPr>
                <w:rFonts w:hint="eastAsia"/>
                <w:lang w:val="en-US" w:eastAsia="zh-CN"/>
              </w:rPr>
              <w:t>5</w:t>
            </w:r>
          </w:p>
        </w:tc>
        <w:tc>
          <w:tcPr>
            <w:tcW w:w="1560" w:type="dxa"/>
            <w:vAlign w:val="center"/>
          </w:tcPr>
          <w:p>
            <w:pPr>
              <w:jc w:val="center"/>
              <w:rPr>
                <w:rFonts w:hint="default" w:eastAsia="宋体"/>
                <w:lang w:val="en-US" w:eastAsia="zh-CN"/>
              </w:rPr>
            </w:pPr>
            <w:r>
              <w:rPr>
                <w:rFonts w:hint="eastAsia"/>
                <w:lang w:val="en-US" w:eastAsia="zh-CN"/>
              </w:rPr>
              <w:t>21.8</w:t>
            </w:r>
          </w:p>
        </w:tc>
        <w:tc>
          <w:tcPr>
            <w:tcW w:w="1559" w:type="dxa"/>
            <w:vAlign w:val="center"/>
          </w:tcPr>
          <w:p>
            <w:pPr>
              <w:jc w:val="center"/>
            </w:pPr>
            <w:r>
              <w:t>0.00</w:t>
            </w:r>
          </w:p>
        </w:tc>
        <w:tc>
          <w:tcPr>
            <w:tcW w:w="2410" w:type="dxa"/>
          </w:tcPr>
          <w:p>
            <w:pPr>
              <w:jc w:val="center"/>
            </w:pPr>
          </w:p>
        </w:tc>
      </w:tr>
    </w:tbl>
    <w:p>
      <w:pPr>
        <w:spacing w:line="440" w:lineRule="exact"/>
        <w:rPr>
          <w:bCs/>
          <w:color w:val="000000"/>
          <w:sz w:val="24"/>
          <w:szCs w:val="32"/>
        </w:rPr>
      </w:pPr>
    </w:p>
    <w:p>
      <w:pPr>
        <w:spacing w:line="440" w:lineRule="exact"/>
        <w:rPr>
          <w:bCs/>
          <w:color w:val="000000"/>
          <w:sz w:val="24"/>
          <w:szCs w:val="32"/>
        </w:rPr>
      </w:pPr>
      <w:r>
        <w:rPr>
          <w:bCs/>
          <w:color w:val="000000"/>
          <w:sz w:val="24"/>
          <w:szCs w:val="32"/>
        </w:rPr>
        <w:t>注：上表中是指建筑最高部位（含水箱、电梯井或构架）的高度（具体进行日照分析计算时建筑高度以日照分析图上所标示的诸屋面标高为准）。</w:t>
      </w:r>
    </w:p>
    <w:p>
      <w:pPr>
        <w:spacing w:line="440" w:lineRule="exact"/>
        <w:rPr>
          <w:bCs/>
          <w:color w:val="000000"/>
          <w:sz w:val="24"/>
          <w:szCs w:val="32"/>
        </w:rPr>
      </w:pPr>
      <w:r>
        <w:rPr>
          <w:bCs/>
          <w:color w:val="000000"/>
          <w:sz w:val="24"/>
          <w:szCs w:val="32"/>
        </w:rPr>
        <w:t>拟建建筑的阴影范围，主、客体建筑位置关系，建筑标高以及客体建筑窗位如附图所示。</w:t>
      </w:r>
    </w:p>
    <w:p>
      <w:pPr>
        <w:spacing w:line="440" w:lineRule="exact"/>
        <w:rPr>
          <w:bCs/>
          <w:color w:val="000000"/>
          <w:sz w:val="24"/>
          <w:szCs w:val="32"/>
        </w:rPr>
      </w:pPr>
    </w:p>
    <w:p>
      <w:pPr>
        <w:spacing w:line="440" w:lineRule="exact"/>
        <w:rPr>
          <w:b/>
          <w:bCs/>
          <w:color w:val="000000"/>
          <w:sz w:val="24"/>
          <w:szCs w:val="32"/>
        </w:rPr>
      </w:pPr>
      <w:r>
        <w:rPr>
          <w:b/>
          <w:bCs/>
          <w:color w:val="000000"/>
          <w:sz w:val="24"/>
          <w:szCs w:val="32"/>
        </w:rPr>
        <w:t>四、日照分析标准及依据</w:t>
      </w:r>
    </w:p>
    <w:p>
      <w:pPr>
        <w:spacing w:line="440" w:lineRule="exact"/>
        <w:ind w:firstLine="480"/>
        <w:rPr>
          <w:bCs/>
          <w:color w:val="000000"/>
          <w:sz w:val="24"/>
          <w:szCs w:val="32"/>
        </w:rPr>
      </w:pPr>
      <w:r>
        <w:rPr>
          <w:bCs/>
          <w:color w:val="000000"/>
          <w:sz w:val="24"/>
          <w:szCs w:val="32"/>
        </w:rPr>
        <w:t>本日照分析报告的标准依据《上海市城市规划管理技术规定》有关条款，要求“……受遮挡的居住建筑的居室冬至日满窗日照的有效时间不少于连续一小时……”，以下简称“住宅日照标准”；“……医院病房楼、休（疗）养院住宿楼、幼儿园、托儿所和大中小学教学楼与相邻建筑的间距，应保证被遮挡的上述文教卫生建筑冬至日满窗日照的有效时间不少于3小时……” ，以下简称“文教卫生建筑日照标准”。</w:t>
      </w:r>
    </w:p>
    <w:p>
      <w:pPr>
        <w:spacing w:line="440" w:lineRule="exact"/>
        <w:rPr>
          <w:b/>
          <w:bCs/>
          <w:color w:val="000000"/>
          <w:sz w:val="24"/>
          <w:szCs w:val="32"/>
        </w:rPr>
      </w:pPr>
      <w:r>
        <w:rPr>
          <w:b/>
          <w:bCs/>
          <w:color w:val="000000"/>
          <w:sz w:val="24"/>
          <w:szCs w:val="32"/>
        </w:rPr>
        <w:t>五、日照分析计算公式</w:t>
      </w:r>
    </w:p>
    <w:p>
      <w:pPr>
        <w:numPr>
          <w:ilvl w:val="0"/>
          <w:numId w:val="1"/>
        </w:numPr>
        <w:spacing w:line="440" w:lineRule="exact"/>
        <w:rPr>
          <w:rFonts w:eastAsia="黑体"/>
          <w:color w:val="000000"/>
          <w:kern w:val="0"/>
          <w:sz w:val="24"/>
          <w:szCs w:val="28"/>
        </w:rPr>
      </w:pPr>
      <w:r>
        <w:rPr>
          <w:rFonts w:eastAsia="黑体"/>
          <w:color w:val="000000"/>
          <w:kern w:val="0"/>
          <w:sz w:val="24"/>
          <w:szCs w:val="28"/>
        </w:rPr>
        <w:t>太阳位置计算公式【出处：国标《建筑设计资料集》第二版第一册（p179～p185）】</w:t>
      </w:r>
    </w:p>
    <w:p>
      <w:r>
        <w:drawing>
          <wp:inline distT="0" distB="0" distL="0" distR="0">
            <wp:extent cx="5867400" cy="353377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67400" cy="3533775"/>
                    </a:xfrm>
                    <a:prstGeom prst="rect">
                      <a:avLst/>
                    </a:prstGeom>
                    <a:noFill/>
                    <a:ln>
                      <a:noFill/>
                    </a:ln>
                  </pic:spPr>
                </pic:pic>
              </a:graphicData>
            </a:graphic>
          </wp:inline>
        </w:drawing>
      </w:r>
    </w:p>
    <w:p>
      <w:pPr>
        <w:autoSpaceDE w:val="0"/>
        <w:autoSpaceDN w:val="0"/>
        <w:adjustRightInd w:val="0"/>
        <w:jc w:val="left"/>
        <w:rPr>
          <w:rFonts w:eastAsia="黑体"/>
          <w:color w:val="000000"/>
          <w:kern w:val="0"/>
          <w:sz w:val="24"/>
          <w:szCs w:val="24"/>
        </w:rPr>
      </w:pPr>
    </w:p>
    <w:p>
      <w:pPr>
        <w:numPr>
          <w:ilvl w:val="0"/>
          <w:numId w:val="1"/>
        </w:numPr>
        <w:autoSpaceDE w:val="0"/>
        <w:autoSpaceDN w:val="0"/>
        <w:adjustRightInd w:val="0"/>
        <w:jc w:val="left"/>
        <w:rPr>
          <w:rFonts w:eastAsia="黑体"/>
          <w:color w:val="000000"/>
          <w:kern w:val="0"/>
          <w:sz w:val="24"/>
          <w:szCs w:val="28"/>
        </w:rPr>
      </w:pPr>
      <w:r>
        <w:rPr>
          <w:rFonts w:eastAsia="黑体"/>
          <w:color w:val="000000"/>
          <w:kern w:val="0"/>
          <w:sz w:val="24"/>
          <w:szCs w:val="28"/>
        </w:rPr>
        <w:t>赤纬（</w:t>
      </w:r>
      <w:r>
        <w:rPr>
          <w:color w:val="000000"/>
          <w:kern w:val="0"/>
          <w:sz w:val="24"/>
          <w:szCs w:val="28"/>
        </w:rPr>
        <w:t>δ）</w:t>
      </w:r>
      <w:r>
        <w:rPr>
          <w:rFonts w:eastAsia="黑体"/>
          <w:color w:val="000000"/>
          <w:kern w:val="0"/>
          <w:sz w:val="24"/>
          <w:szCs w:val="28"/>
        </w:rPr>
        <w:t>和时差（</w:t>
      </w:r>
      <w:r>
        <w:rPr>
          <w:color w:val="000000"/>
          <w:kern w:val="0"/>
          <w:sz w:val="24"/>
          <w:szCs w:val="28"/>
        </w:rPr>
        <w:t>Et）</w:t>
      </w:r>
      <w:r>
        <w:rPr>
          <w:rFonts w:eastAsia="黑体"/>
          <w:color w:val="000000"/>
          <w:kern w:val="0"/>
          <w:sz w:val="24"/>
          <w:szCs w:val="28"/>
        </w:rPr>
        <w:t>计算公式</w:t>
      </w:r>
    </w:p>
    <w:p>
      <w:pPr>
        <w:autoSpaceDE w:val="0"/>
        <w:autoSpaceDN w:val="0"/>
        <w:adjustRightInd w:val="0"/>
        <w:ind w:firstLine="480" w:firstLineChars="200"/>
        <w:jc w:val="left"/>
        <w:rPr>
          <w:rFonts w:eastAsia="黑体"/>
          <w:color w:val="000000"/>
          <w:kern w:val="0"/>
          <w:sz w:val="24"/>
          <w:szCs w:val="28"/>
        </w:rPr>
      </w:pPr>
      <w:r>
        <w:rPr>
          <w:rFonts w:eastAsia="黑体"/>
          <w:color w:val="000000"/>
          <w:kern w:val="0"/>
          <w:sz w:val="24"/>
          <w:szCs w:val="28"/>
        </w:rPr>
        <w:t xml:space="preserve">赤纬（δ） </w:t>
      </w:r>
    </w:p>
    <w:p>
      <w:pPr>
        <w:autoSpaceDE w:val="0"/>
        <w:autoSpaceDN w:val="0"/>
        <w:adjustRightInd w:val="0"/>
        <w:ind w:left="630" w:leftChars="300"/>
        <w:jc w:val="left"/>
        <w:rPr>
          <w:color w:val="000000"/>
          <w:kern w:val="0"/>
          <w:sz w:val="24"/>
          <w:szCs w:val="28"/>
        </w:rPr>
      </w:pPr>
      <w:r>
        <w:rPr>
          <w:color w:val="000000"/>
          <w:kern w:val="0"/>
          <w:sz w:val="24"/>
          <w:szCs w:val="28"/>
        </w:rPr>
        <w:t>δ=0.3723＋23.2567sinθ＋0.1149sin2θ－0.1712sin3θ－0.758cosθ＋0.3656cos2θ＋0.0201cos3θ</w:t>
      </w:r>
    </w:p>
    <w:p>
      <w:pPr>
        <w:ind w:left="900"/>
        <w:rPr>
          <w:sz w:val="24"/>
          <w:szCs w:val="28"/>
        </w:rPr>
      </w:pPr>
    </w:p>
    <w:p>
      <w:pPr>
        <w:autoSpaceDE w:val="0"/>
        <w:autoSpaceDN w:val="0"/>
        <w:adjustRightInd w:val="0"/>
        <w:ind w:firstLine="480" w:firstLineChars="200"/>
        <w:jc w:val="left"/>
        <w:rPr>
          <w:rFonts w:eastAsia="黑体"/>
          <w:color w:val="000000"/>
          <w:kern w:val="0"/>
          <w:sz w:val="24"/>
          <w:szCs w:val="28"/>
        </w:rPr>
      </w:pPr>
      <w:r>
        <w:rPr>
          <w:rFonts w:eastAsia="黑体"/>
          <w:color w:val="000000"/>
          <w:kern w:val="0"/>
          <w:sz w:val="24"/>
          <w:szCs w:val="28"/>
        </w:rPr>
        <w:t xml:space="preserve">时差（Et） </w:t>
      </w:r>
    </w:p>
    <w:p>
      <w:pPr>
        <w:autoSpaceDE w:val="0"/>
        <w:autoSpaceDN w:val="0"/>
        <w:adjustRightInd w:val="0"/>
        <w:jc w:val="center"/>
        <w:rPr>
          <w:color w:val="000000"/>
          <w:kern w:val="0"/>
          <w:sz w:val="24"/>
          <w:szCs w:val="28"/>
        </w:rPr>
      </w:pPr>
      <w:r>
        <w:rPr>
          <w:color w:val="000000"/>
          <w:kern w:val="0"/>
          <w:sz w:val="24"/>
          <w:szCs w:val="28"/>
        </w:rPr>
        <w:t>Et=0.0028－1.9857sinθ＋9.9059sin2θ－7.0924cosθ－0.6882cos2θ</w:t>
      </w:r>
    </w:p>
    <w:p>
      <w:pPr>
        <w:autoSpaceDE w:val="0"/>
        <w:autoSpaceDN w:val="0"/>
        <w:adjustRightInd w:val="0"/>
        <w:ind w:firstLine="720" w:firstLineChars="300"/>
        <w:jc w:val="left"/>
        <w:rPr>
          <w:color w:val="000000"/>
          <w:kern w:val="0"/>
          <w:sz w:val="24"/>
          <w:szCs w:val="28"/>
        </w:rPr>
      </w:pPr>
      <w:r>
        <w:rPr>
          <w:color w:val="000000"/>
          <w:kern w:val="0"/>
          <w:sz w:val="24"/>
          <w:szCs w:val="28"/>
        </w:rPr>
        <w:t>式中：</w:t>
      </w:r>
    </w:p>
    <w:p>
      <w:pPr>
        <w:autoSpaceDE w:val="0"/>
        <w:autoSpaceDN w:val="0"/>
        <w:adjustRightInd w:val="0"/>
        <w:ind w:firstLine="1440" w:firstLineChars="600"/>
        <w:jc w:val="left"/>
        <w:rPr>
          <w:color w:val="000000"/>
          <w:kern w:val="0"/>
          <w:sz w:val="24"/>
          <w:szCs w:val="28"/>
        </w:rPr>
      </w:pPr>
      <w:r>
        <w:rPr>
          <w:color w:val="000000"/>
          <w:kern w:val="0"/>
          <w:sz w:val="24"/>
          <w:szCs w:val="28"/>
        </w:rPr>
        <w:t xml:space="preserve">θ </w:t>
      </w:r>
      <w:r>
        <w:rPr>
          <w:rFonts w:hint="eastAsia"/>
          <w:color w:val="000000"/>
          <w:kern w:val="0"/>
          <w:sz w:val="24"/>
          <w:szCs w:val="28"/>
        </w:rPr>
        <w:t>—</w:t>
      </w:r>
      <w:r>
        <w:rPr>
          <w:color w:val="000000"/>
          <w:kern w:val="0"/>
          <w:sz w:val="24"/>
          <w:szCs w:val="28"/>
        </w:rPr>
        <w:t>日角，即 θ=2πt／365.2422；</w:t>
      </w:r>
    </w:p>
    <w:p>
      <w:pPr>
        <w:autoSpaceDE w:val="0"/>
        <w:autoSpaceDN w:val="0"/>
        <w:adjustRightInd w:val="0"/>
        <w:ind w:firstLine="1440" w:firstLineChars="600"/>
        <w:jc w:val="left"/>
        <w:rPr>
          <w:color w:val="000000"/>
          <w:kern w:val="0"/>
          <w:sz w:val="24"/>
          <w:szCs w:val="28"/>
        </w:rPr>
      </w:pPr>
      <w:r>
        <w:rPr>
          <w:color w:val="000000"/>
          <w:kern w:val="0"/>
          <w:sz w:val="24"/>
          <w:szCs w:val="28"/>
        </w:rPr>
        <w:t xml:space="preserve">t  </w:t>
      </w:r>
      <w:r>
        <w:rPr>
          <w:rFonts w:hint="eastAsia"/>
          <w:color w:val="000000"/>
          <w:kern w:val="0"/>
          <w:sz w:val="24"/>
          <w:szCs w:val="28"/>
        </w:rPr>
        <w:t>—</w:t>
      </w:r>
      <w:r>
        <w:rPr>
          <w:color w:val="000000"/>
          <w:kern w:val="0"/>
          <w:sz w:val="24"/>
          <w:szCs w:val="28"/>
        </w:rPr>
        <w:t>由两部分组成，即：t=N－N0；</w:t>
      </w:r>
    </w:p>
    <w:p>
      <w:pPr>
        <w:autoSpaceDE w:val="0"/>
        <w:autoSpaceDN w:val="0"/>
        <w:adjustRightInd w:val="0"/>
        <w:ind w:left="1950" w:leftChars="700" w:hanging="480" w:hangingChars="200"/>
        <w:jc w:val="left"/>
        <w:rPr>
          <w:color w:val="000000"/>
          <w:kern w:val="0"/>
          <w:sz w:val="24"/>
          <w:szCs w:val="28"/>
        </w:rPr>
      </w:pPr>
      <w:r>
        <w:rPr>
          <w:color w:val="000000"/>
          <w:kern w:val="0"/>
          <w:sz w:val="24"/>
          <w:szCs w:val="28"/>
        </w:rPr>
        <w:t xml:space="preserve">N </w:t>
      </w:r>
      <w:r>
        <w:rPr>
          <w:rFonts w:hint="eastAsia"/>
          <w:color w:val="000000"/>
          <w:kern w:val="0"/>
          <w:sz w:val="24"/>
          <w:szCs w:val="28"/>
        </w:rPr>
        <w:t>—</w:t>
      </w:r>
      <w:r>
        <w:rPr>
          <w:color w:val="000000"/>
          <w:kern w:val="0"/>
          <w:sz w:val="24"/>
          <w:szCs w:val="28"/>
        </w:rPr>
        <w:t xml:space="preserve">为积日，即日期在年内的顺序号，例如，1月1日其积日为1，平年12月31日的积日为365，闰年则为366。 </w:t>
      </w:r>
    </w:p>
    <w:p>
      <w:pPr>
        <w:autoSpaceDE w:val="0"/>
        <w:autoSpaceDN w:val="0"/>
        <w:adjustRightInd w:val="0"/>
        <w:ind w:firstLine="1200" w:firstLineChars="500"/>
        <w:rPr>
          <w:color w:val="000000"/>
          <w:kern w:val="0"/>
          <w:sz w:val="24"/>
          <w:szCs w:val="28"/>
        </w:rPr>
      </w:pPr>
      <w:r>
        <w:rPr>
          <w:color w:val="000000"/>
          <w:kern w:val="0"/>
          <w:sz w:val="24"/>
          <w:szCs w:val="28"/>
        </w:rPr>
        <w:t>N0=79.6764＋0.2422×（年份－1985）－INT〔（年份－1985</w:t>
      </w:r>
      <w:r>
        <w:rPr>
          <w:rFonts w:hint="eastAsia"/>
          <w:color w:val="000000"/>
          <w:kern w:val="0"/>
          <w:sz w:val="24"/>
          <w:szCs w:val="28"/>
        </w:rPr>
        <w:t>）/</w:t>
      </w:r>
      <w:r>
        <w:rPr>
          <w:color w:val="000000"/>
          <w:kern w:val="0"/>
          <w:sz w:val="24"/>
          <w:szCs w:val="28"/>
        </w:rPr>
        <w:t>4〕</w:t>
      </w:r>
    </w:p>
    <w:p>
      <w:pPr>
        <w:ind w:left="900"/>
        <w:rPr>
          <w:color w:val="000000"/>
          <w:kern w:val="0"/>
          <w:sz w:val="24"/>
          <w:szCs w:val="28"/>
        </w:rPr>
      </w:pPr>
      <w:r>
        <w:rPr>
          <w:color w:val="000000"/>
          <w:kern w:val="0"/>
          <w:sz w:val="24"/>
          <w:szCs w:val="28"/>
        </w:rPr>
        <w:t>注：以上公式参考《太阳辐射计算讲座》（由中国气象科学研究院王炳忠研究员编写）内容，此计算方法被国家标准《建筑日照计算参数标准》GB/T 50947-2014所采用。</w:t>
      </w:r>
    </w:p>
    <w:p>
      <w:pPr>
        <w:ind w:left="900"/>
        <w:rPr>
          <w:rFonts w:hint="eastAsia"/>
          <w:bCs/>
          <w:color w:val="000000"/>
          <w:sz w:val="24"/>
          <w:szCs w:val="28"/>
        </w:rPr>
      </w:pPr>
    </w:p>
    <w:p>
      <w:pPr>
        <w:spacing w:line="440" w:lineRule="exact"/>
        <w:rPr>
          <w:b/>
          <w:bCs/>
          <w:color w:val="000000"/>
          <w:sz w:val="24"/>
          <w:szCs w:val="32"/>
        </w:rPr>
      </w:pPr>
      <w:r>
        <w:rPr>
          <w:b/>
          <w:bCs/>
          <w:color w:val="000000"/>
          <w:sz w:val="24"/>
          <w:szCs w:val="32"/>
        </w:rPr>
        <w:t>六、分析资料的来源说明</w:t>
      </w:r>
    </w:p>
    <w:p>
      <w:pPr>
        <w:spacing w:line="440" w:lineRule="exact"/>
        <w:rPr>
          <w:b/>
          <w:bCs/>
          <w:color w:val="000000"/>
          <w:sz w:val="24"/>
          <w:szCs w:val="32"/>
        </w:rPr>
      </w:pPr>
      <w:r>
        <w:rPr>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b/>
          <w:bCs/>
          <w:color w:val="000000"/>
          <w:sz w:val="24"/>
          <w:szCs w:val="32"/>
        </w:rPr>
      </w:pPr>
    </w:p>
    <w:p>
      <w:pPr>
        <w:spacing w:line="440" w:lineRule="exact"/>
        <w:rPr>
          <w:b/>
          <w:bCs/>
          <w:color w:val="000000"/>
          <w:sz w:val="24"/>
          <w:szCs w:val="32"/>
        </w:rPr>
      </w:pPr>
      <w:r>
        <w:rPr>
          <w:b/>
          <w:bCs/>
          <w:color w:val="000000"/>
          <w:sz w:val="24"/>
          <w:szCs w:val="32"/>
        </w:rPr>
        <w:t>七、本日照分析报告采用经城乡建设部鉴定的“绿建日照分析软件Sun2020”进行分析计算。</w:t>
      </w:r>
    </w:p>
    <w:p>
      <w:pPr>
        <w:spacing w:line="440" w:lineRule="exact"/>
        <w:rPr>
          <w:b/>
          <w:bCs/>
          <w:color w:val="000000"/>
          <w:sz w:val="24"/>
          <w:szCs w:val="32"/>
        </w:rPr>
      </w:pPr>
    </w:p>
    <w:p>
      <w:pPr>
        <w:spacing w:line="440" w:lineRule="exact"/>
        <w:rPr>
          <w:b/>
          <w:bCs/>
          <w:color w:val="000000"/>
          <w:sz w:val="24"/>
          <w:szCs w:val="32"/>
        </w:rPr>
      </w:pPr>
      <w:r>
        <w:rPr>
          <w:b/>
          <w:bCs/>
          <w:color w:val="000000"/>
          <w:sz w:val="24"/>
          <w:szCs w:val="32"/>
        </w:rPr>
        <w:t>八、日照分析说明</w:t>
      </w:r>
    </w:p>
    <w:p>
      <w:pPr>
        <w:spacing w:line="440" w:lineRule="exact"/>
        <w:rPr>
          <w:bCs/>
          <w:color w:val="000000"/>
          <w:sz w:val="24"/>
          <w:szCs w:val="32"/>
        </w:rPr>
      </w:pPr>
      <w:r>
        <w:rPr>
          <w:bCs/>
          <w:color w:val="000000"/>
          <w:sz w:val="24"/>
          <w:szCs w:val="32"/>
        </w:rPr>
        <w:t xml:space="preserve">    通过作拟建建筑</w:t>
      </w:r>
      <w:r>
        <w:rPr>
          <w:bCs/>
          <w:color w:val="000000"/>
          <w:sz w:val="24"/>
          <w:szCs w:val="32"/>
          <w:u w:val="single"/>
        </w:rPr>
        <w:t xml:space="preserve"> A1</w:t>
      </w:r>
      <w:r>
        <w:rPr>
          <w:sz w:val="23"/>
          <w:szCs w:val="23"/>
          <w:u w:val="single"/>
        </w:rPr>
        <w:t>，A2，A3</w:t>
      </w:r>
      <w:r>
        <w:rPr>
          <w:bCs/>
          <w:color w:val="000000"/>
          <w:sz w:val="24"/>
          <w:szCs w:val="32"/>
        </w:rPr>
        <w:t>在9:00～15:00日照阴影范围（见附图一），可知在日照有效时间段内，阴影范围以外的建筑及窗户不受拟建</w:t>
      </w:r>
      <w:r>
        <w:rPr>
          <w:bCs/>
          <w:color w:val="000000"/>
          <w:sz w:val="24"/>
          <w:szCs w:val="32"/>
          <w:u w:val="single"/>
        </w:rPr>
        <w:t>A1</w:t>
      </w:r>
      <w:r>
        <w:rPr>
          <w:sz w:val="23"/>
          <w:szCs w:val="23"/>
          <w:u w:val="single"/>
        </w:rPr>
        <w:t>，A2，A3</w:t>
      </w:r>
      <w:r>
        <w:rPr>
          <w:bCs/>
          <w:color w:val="000000"/>
          <w:sz w:val="24"/>
          <w:szCs w:val="32"/>
        </w:rPr>
        <w:t>的日照遮挡影响，不需进行日照定量分析。因此，仅需对客体</w:t>
      </w:r>
      <w:r>
        <w:rPr>
          <w:bCs/>
          <w:color w:val="000000"/>
          <w:sz w:val="24"/>
          <w:szCs w:val="32"/>
          <w:u w:val="single"/>
        </w:rPr>
        <w:t xml:space="preserve"> B1</w:t>
      </w:r>
      <w:r>
        <w:rPr>
          <w:sz w:val="23"/>
          <w:szCs w:val="23"/>
          <w:u w:val="single"/>
        </w:rPr>
        <w:t>，B2，B3</w:t>
      </w:r>
      <w:r>
        <w:rPr>
          <w:bCs/>
          <w:color w:val="000000"/>
          <w:sz w:val="24"/>
          <w:szCs w:val="32"/>
          <w:u w:val="single"/>
        </w:rPr>
        <w:t xml:space="preserve"> </w:t>
      </w:r>
      <w:r>
        <w:rPr>
          <w:bCs/>
          <w:color w:val="000000"/>
          <w:sz w:val="24"/>
          <w:szCs w:val="32"/>
        </w:rPr>
        <w:t>楼窗户进行日照定量分析。</w:t>
      </w:r>
    </w:p>
    <w:p>
      <w:pPr>
        <w:spacing w:line="440" w:lineRule="exact"/>
        <w:rPr>
          <w:bCs/>
          <w:color w:val="000000"/>
          <w:sz w:val="24"/>
          <w:szCs w:val="32"/>
        </w:rPr>
      </w:pPr>
    </w:p>
    <w:p>
      <w:pPr>
        <w:spacing w:line="440" w:lineRule="exact"/>
        <w:rPr>
          <w:b/>
          <w:bCs/>
          <w:color w:val="000000"/>
          <w:sz w:val="24"/>
          <w:szCs w:val="32"/>
        </w:rPr>
      </w:pPr>
      <w:r>
        <w:rPr>
          <w:b/>
          <w:bCs/>
          <w:color w:val="000000"/>
          <w:sz w:val="24"/>
          <w:szCs w:val="32"/>
        </w:rPr>
        <w:t>九、日照分析结论</w:t>
      </w:r>
    </w:p>
    <w:p>
      <w:pPr>
        <w:spacing w:after="156" w:afterLines="50" w:line="440" w:lineRule="exact"/>
        <w:ind w:firstLine="480"/>
        <w:rPr>
          <w:bCs/>
          <w:color w:val="000000"/>
          <w:sz w:val="24"/>
          <w:szCs w:val="32"/>
        </w:rPr>
      </w:pPr>
      <w:r>
        <w:rPr>
          <w:bCs/>
          <w:color w:val="000000"/>
          <w:sz w:val="24"/>
          <w:szCs w:val="32"/>
        </w:rPr>
        <w:t>客体建筑的日照时间具体分析结果详见附表。</w:t>
      </w:r>
    </w:p>
    <w:tbl>
      <w:tblPr>
        <w:tblStyle w:val="4"/>
        <w:tblpPr w:leftFromText="180" w:rightFromText="180" w:vertAnchor="text" w:tblpXSpec="center" w:tblpY="153"/>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701"/>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分析建筑编号</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建设前</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建设后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不满足的窗数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不满足的户数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不满足的窗数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不满足的户数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b1</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b2</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b3</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sz w:val="24"/>
                <w:lang w:eastAsia="zh-CN"/>
              </w:rPr>
            </w:pPr>
            <w:r>
              <w:rPr>
                <w:rFonts w:hint="eastAsia"/>
                <w:sz w:val="24"/>
                <w:lang w:val="en-US" w:eastAsia="zh-CN"/>
              </w:rPr>
              <w:t>0</w:t>
            </w:r>
          </w:p>
        </w:tc>
      </w:tr>
    </w:tbl>
    <w:p>
      <w:pPr>
        <w:spacing w:after="156" w:afterLines="50" w:line="440" w:lineRule="exact"/>
        <w:ind w:firstLine="480"/>
        <w:rPr>
          <w:bCs/>
          <w:color w:val="000000"/>
          <w:sz w:val="24"/>
          <w:szCs w:val="32"/>
        </w:rPr>
      </w:pPr>
    </w:p>
    <w:p>
      <w:pPr>
        <w:spacing w:line="440" w:lineRule="exact"/>
        <w:rPr>
          <w:b/>
          <w:bCs/>
          <w:color w:val="000000"/>
          <w:sz w:val="24"/>
          <w:szCs w:val="32"/>
        </w:rPr>
      </w:pPr>
      <w:r>
        <w:rPr>
          <w:b/>
          <w:bCs/>
          <w:color w:val="000000"/>
          <w:sz w:val="24"/>
          <w:szCs w:val="32"/>
        </w:rPr>
        <w:t>十、绿色建筑评价结论</w:t>
      </w:r>
    </w:p>
    <w:p>
      <w:pPr>
        <w:spacing w:after="156" w:afterLines="50" w:line="440" w:lineRule="exact"/>
        <w:ind w:firstLine="480"/>
        <w:rPr>
          <w:bCs/>
          <w:color w:val="000000"/>
          <w:sz w:val="24"/>
          <w:szCs w:val="32"/>
        </w:rPr>
      </w:pPr>
      <w:r>
        <w:rPr>
          <w:szCs w:val="21"/>
        </w:rPr>
        <w:t>本项目的日照分析评价，经应用SUN2020软件依据《城市居住区规划设计规范》GB50180、《建筑日照计算参数标准》GB/T50947进行日照模拟分析，以及根据《绿色建筑评价标准》GB/T 50378-2019的8.1.1条款进行评价计算，本项目建筑日照的评分项得分如下：</w:t>
      </w:r>
    </w:p>
    <w:p>
      <w:pPr>
        <w:spacing w:after="156" w:afterLines="50" w:line="440" w:lineRule="exact"/>
        <w:rPr>
          <w:rFonts w:eastAsia="微软雅黑"/>
          <w:b/>
          <w:sz w:val="22"/>
          <w:szCs w:val="21"/>
        </w:rPr>
      </w:pPr>
      <w:r>
        <w:rPr>
          <w:rFonts w:eastAsia="微软雅黑"/>
          <w:b/>
          <w:sz w:val="22"/>
          <w:szCs w:val="21"/>
        </w:rPr>
        <w:t>结论：本项目对阴影范围内的已建建筑，建设前后没有“降低周边建筑的日照标准”要求，满足绿色建筑评价控制项的要求。</w:t>
      </w:r>
    </w:p>
    <w:p>
      <w:pPr>
        <w:spacing w:line="440" w:lineRule="exact"/>
        <w:rPr>
          <w:b/>
          <w:bCs/>
          <w:color w:val="000000"/>
          <w:sz w:val="24"/>
          <w:szCs w:val="32"/>
        </w:rPr>
      </w:pPr>
    </w:p>
    <w:p>
      <w:pPr>
        <w:spacing w:line="440" w:lineRule="exact"/>
        <w:rPr>
          <w:b/>
          <w:bCs/>
          <w:color w:val="000000"/>
          <w:sz w:val="24"/>
          <w:szCs w:val="32"/>
        </w:rPr>
      </w:pPr>
    </w:p>
    <w:p>
      <w:pPr>
        <w:spacing w:line="440" w:lineRule="exact"/>
        <w:rPr>
          <w:b/>
          <w:bCs/>
          <w:color w:val="000000"/>
          <w:sz w:val="24"/>
          <w:szCs w:val="32"/>
        </w:rPr>
      </w:pPr>
    </w:p>
    <w:p>
      <w:pPr>
        <w:spacing w:line="440" w:lineRule="exact"/>
        <w:rPr>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b/>
          <w:bCs/>
          <w:color w:val="000000"/>
          <w:sz w:val="24"/>
          <w:szCs w:val="32"/>
        </w:rPr>
      </w:pPr>
      <w:r>
        <w:rPr>
          <w:b/>
          <w:bCs/>
          <w:color w:val="000000"/>
          <w:sz w:val="24"/>
          <w:szCs w:val="32"/>
        </w:rPr>
        <w:t>附 表：  共    页</w:t>
      </w:r>
    </w:p>
    <w:p>
      <w:r>
        <w:rPr>
          <w:color w:val="000000"/>
          <w:lang w:val="zh-CN"/>
        </w:rPr>
        <w:t>b1楼窗日照分析表</w:t>
      </w:r>
    </w:p>
    <w:p>
      <w:pPr>
        <w:rPr>
          <w:rFonts w:hint="eastAsia" w:eastAsia="宋体"/>
          <w:lang w:eastAsia="zh-CN"/>
        </w:rPr>
      </w:pPr>
      <w:r>
        <w:rPr>
          <w:rFonts w:hint="eastAsia"/>
          <w:lang w:val="en-US" w:eastAsia="zh-CN"/>
        </w:rPr>
        <w:t xml:space="preserve">                     </w:t>
      </w:r>
      <w:r>
        <w:rPr>
          <w:rFonts w:hint="eastAsia" w:eastAsia="宋体"/>
          <w:lang w:eastAsia="zh-CN"/>
        </w:rPr>
        <w:drawing>
          <wp:inline distT="0" distB="0" distL="114300" distR="114300">
            <wp:extent cx="2881630" cy="6156960"/>
            <wp:effectExtent l="0" t="0" r="13970" b="0"/>
            <wp:docPr id="6" name="图片 6" descr="完整_t8-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完整_t8-Model_00"/>
                    <pic:cNvPicPr>
                      <a:picLocks noChangeAspect="1"/>
                    </pic:cNvPicPr>
                  </pic:nvPicPr>
                  <pic:blipFill>
                    <a:blip r:embed="rId10"/>
                    <a:srcRect l="32783" r="34103"/>
                    <a:stretch>
                      <a:fillRect/>
                    </a:stretch>
                  </pic:blipFill>
                  <pic:spPr>
                    <a:xfrm>
                      <a:off x="0" y="0"/>
                      <a:ext cx="2881630" cy="6156960"/>
                    </a:xfrm>
                    <a:prstGeom prst="rect">
                      <a:avLst/>
                    </a:prstGeom>
                  </pic:spPr>
                </pic:pic>
              </a:graphicData>
            </a:graphic>
          </wp:inline>
        </w:drawing>
      </w:r>
    </w:p>
    <w:p>
      <w:pPr>
        <w:spacing w:line="360" w:lineRule="auto"/>
        <w:rPr>
          <w:sz w:val="22"/>
        </w:rPr>
      </w:pPr>
      <w:bookmarkStart w:id="8" w:name="ANALYSE_TABLE"/>
      <w:bookmarkEnd w:id="8"/>
      <w:bookmarkStart w:id="9" w:name="窗照分析表"/>
      <w:bookmarkEnd w:id="9"/>
    </w:p>
    <w:p>
      <w:pPr>
        <w:spacing w:line="360" w:lineRule="auto"/>
        <w:rPr>
          <w:sz w:val="22"/>
        </w:rPr>
      </w:pPr>
      <w:r>
        <w:rPr>
          <w:sz w:val="22"/>
        </w:rPr>
        <w:t>注 释：</w:t>
      </w:r>
    </w:p>
    <w:p>
      <w:pPr>
        <w:numPr>
          <w:ilvl w:val="0"/>
          <w:numId w:val="2"/>
        </w:numPr>
        <w:spacing w:before="48" w:beforeLines="20" w:line="360" w:lineRule="auto"/>
        <w:ind w:left="284" w:hanging="284"/>
        <w:rPr>
          <w:sz w:val="22"/>
        </w:rPr>
      </w:pPr>
      <w:r>
        <w:rPr>
          <w:sz w:val="22"/>
        </w:rPr>
        <w:t>以上日照时间为该客体建筑主要朝向窗户在冬至日有效时间段内经分析得到的连续日照。</w:t>
      </w:r>
    </w:p>
    <w:p>
      <w:pPr>
        <w:numPr>
          <w:ilvl w:val="0"/>
          <w:numId w:val="2"/>
        </w:numPr>
        <w:spacing w:before="48" w:beforeLines="20" w:line="360" w:lineRule="auto"/>
        <w:ind w:left="284" w:hanging="284"/>
        <w:rPr>
          <w:sz w:val="22"/>
        </w:rPr>
      </w:pPr>
      <w:r>
        <w:rPr>
          <w:sz w:val="22"/>
        </w:rPr>
        <w:t>不满足日照标准的窗户用灰色底纹标示。</w:t>
      </w:r>
    </w:p>
    <w:p>
      <w:pPr>
        <w:numPr>
          <w:ilvl w:val="0"/>
          <w:numId w:val="2"/>
        </w:numPr>
        <w:spacing w:before="48" w:beforeLines="20" w:line="360" w:lineRule="auto"/>
        <w:ind w:left="284" w:hanging="284"/>
        <w:rPr>
          <w:sz w:val="22"/>
        </w:rPr>
      </w:pPr>
      <w:r>
        <w:rPr>
          <w:sz w:val="22"/>
        </w:rPr>
        <w:t>建设前已不满足日照标准，建设后日照时间更为减少的窗位，用灰色底纹加粗边框标示。</w:t>
      </w:r>
    </w:p>
    <w:p>
      <w:pPr>
        <w:numPr>
          <w:ilvl w:val="0"/>
          <w:numId w:val="2"/>
        </w:numPr>
        <w:spacing w:before="48" w:beforeLines="20" w:line="360" w:lineRule="auto"/>
        <w:ind w:left="284" w:hanging="284"/>
        <w:rPr>
          <w:sz w:val="22"/>
        </w:rPr>
      </w:pPr>
      <w:r>
        <w:rPr>
          <w:sz w:val="22"/>
        </w:rPr>
        <w:t>建设前已满足日照控制要求，建设后日照时间满足日照标准但不满足日照控制要求的窗位，用白底加粗边框标示。</w:t>
      </w:r>
    </w:p>
    <w:p>
      <w:pPr>
        <w:numPr>
          <w:ilvl w:val="0"/>
          <w:numId w:val="2"/>
        </w:numPr>
        <w:spacing w:before="48" w:beforeLines="20" w:line="360" w:lineRule="auto"/>
        <w:ind w:left="284" w:hanging="284"/>
        <w:rPr>
          <w:sz w:val="22"/>
        </w:rPr>
      </w:pPr>
      <w:r>
        <w:rPr>
          <w:sz w:val="22"/>
        </w:rPr>
        <w:t>表格中每个窗位仅列出不能满足日照标准的居室（或教室、活动室）窗户及能满足日照标准的最低楼层的窗户，以上各层因满足日照标准，故省略。</w:t>
      </w:r>
    </w:p>
    <w:p>
      <w:pPr>
        <w:spacing w:line="360" w:lineRule="auto"/>
        <w:rPr>
          <w:b/>
          <w:sz w:val="24"/>
        </w:rPr>
      </w:pPr>
      <w:r>
        <w:rPr>
          <w:b/>
          <w:sz w:val="24"/>
        </w:rPr>
        <w:t>附图</w:t>
      </w:r>
    </w:p>
    <w:p>
      <w:pPr>
        <w:spacing w:line="360" w:lineRule="auto"/>
        <w:ind w:firstLine="465"/>
        <w:jc w:val="left"/>
        <w:rPr>
          <w:rFonts w:hint="eastAsia" w:eastAsia="宋体"/>
          <w:sz w:val="24"/>
          <w:lang w:eastAsia="zh-CN"/>
        </w:rPr>
      </w:pPr>
      <w:r>
        <w:rPr>
          <w:sz w:val="24"/>
        </w:rPr>
        <w:t>附图一：客体建筑范围图（1:1000）</w:t>
      </w:r>
    </w:p>
    <w:p>
      <w:pPr>
        <w:spacing w:line="360" w:lineRule="auto"/>
        <w:rPr>
          <w:sz w:val="24"/>
        </w:rPr>
      </w:pPr>
    </w:p>
    <w:p>
      <w:pPr>
        <w:spacing w:line="360" w:lineRule="auto"/>
        <w:ind w:firstLine="465"/>
        <w:rPr>
          <w:sz w:val="24"/>
        </w:rPr>
      </w:pPr>
      <w:r>
        <w:rPr>
          <w:rFonts w:hint="eastAsia" w:eastAsia="宋体"/>
          <w:sz w:val="24"/>
          <w:lang w:eastAsia="zh-CN"/>
        </w:rPr>
        <w:drawing>
          <wp:inline distT="0" distB="0" distL="114300" distR="114300">
            <wp:extent cx="3215640" cy="2166620"/>
            <wp:effectExtent l="0" t="0" r="0" b="12700"/>
            <wp:docPr id="8" name="图片 8" descr="1主体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主体_00"/>
                    <pic:cNvPicPr>
                      <a:picLocks noChangeAspect="1"/>
                    </pic:cNvPicPr>
                  </pic:nvPicPr>
                  <pic:blipFill>
                    <a:blip r:embed="rId11"/>
                    <a:srcRect t="22726" b="29634"/>
                    <a:stretch>
                      <a:fillRect/>
                    </a:stretch>
                  </pic:blipFill>
                  <pic:spPr>
                    <a:xfrm>
                      <a:off x="0" y="0"/>
                      <a:ext cx="3215640" cy="2166620"/>
                    </a:xfrm>
                    <a:prstGeom prst="rect">
                      <a:avLst/>
                    </a:prstGeom>
                  </pic:spPr>
                </pic:pic>
              </a:graphicData>
            </a:graphic>
          </wp:inline>
        </w:drawing>
      </w:r>
    </w:p>
    <w:p>
      <w:pPr>
        <w:spacing w:line="360" w:lineRule="auto"/>
        <w:ind w:firstLine="465"/>
        <w:rPr>
          <w:sz w:val="24"/>
        </w:rPr>
      </w:pPr>
    </w:p>
    <w:p>
      <w:pPr>
        <w:spacing w:line="360" w:lineRule="auto"/>
        <w:rPr>
          <w:sz w:val="24"/>
        </w:rPr>
      </w:pPr>
    </w:p>
    <w:p>
      <w:pPr>
        <w:spacing w:line="360" w:lineRule="auto"/>
        <w:ind w:firstLine="465"/>
        <w:rPr>
          <w:sz w:val="24"/>
        </w:rPr>
      </w:pPr>
      <w:r>
        <w:rPr>
          <w:sz w:val="24"/>
        </w:rPr>
        <w:t>附图二：主体范围图（1:1000）</w:t>
      </w:r>
    </w:p>
    <w:p>
      <w:pPr>
        <w:spacing w:line="360" w:lineRule="auto"/>
        <w:jc w:val="center"/>
        <w:rPr>
          <w:rFonts w:hint="eastAsia" w:eastAsia="宋体"/>
          <w:sz w:val="24"/>
          <w:lang w:eastAsia="zh-CN"/>
        </w:rPr>
      </w:pPr>
      <w:r>
        <w:rPr>
          <w:rFonts w:hint="eastAsia" w:eastAsia="宋体"/>
          <w:sz w:val="24"/>
          <w:lang w:eastAsia="zh-CN"/>
        </w:rPr>
        <w:drawing>
          <wp:inline distT="0" distB="0" distL="114300" distR="114300">
            <wp:extent cx="5928995" cy="4176395"/>
            <wp:effectExtent l="0" t="0" r="14605" b="14605"/>
            <wp:docPr id="7" name="图片 7" descr="客体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客体_00"/>
                    <pic:cNvPicPr>
                      <a:picLocks noChangeAspect="1"/>
                    </pic:cNvPicPr>
                  </pic:nvPicPr>
                  <pic:blipFill>
                    <a:blip r:embed="rId12"/>
                    <a:srcRect t="25453" b="24725"/>
                    <a:stretch>
                      <a:fillRect/>
                    </a:stretch>
                  </pic:blipFill>
                  <pic:spPr>
                    <a:xfrm>
                      <a:off x="0" y="0"/>
                      <a:ext cx="5928995" cy="4176395"/>
                    </a:xfrm>
                    <a:prstGeom prst="rect">
                      <a:avLst/>
                    </a:prstGeom>
                  </pic:spPr>
                </pic:pic>
              </a:graphicData>
            </a:graphic>
          </wp:inline>
        </w:drawing>
      </w:r>
    </w:p>
    <w:p>
      <w:pPr>
        <w:spacing w:line="360" w:lineRule="auto"/>
        <w:ind w:firstLine="465"/>
        <w:rPr>
          <w:sz w:val="24"/>
        </w:rPr>
      </w:pPr>
      <w:r>
        <w:rPr>
          <w:sz w:val="24"/>
        </w:rPr>
        <w:t>附图三：日照分析图（1:1000）</w:t>
      </w:r>
    </w:p>
    <w:p>
      <w:pPr>
        <w:spacing w:line="360" w:lineRule="auto"/>
        <w:ind w:firstLine="465"/>
        <w:rPr>
          <w:sz w:val="24"/>
        </w:rPr>
      </w:pPr>
    </w:p>
    <w:p>
      <w:pPr>
        <w:spacing w:line="360" w:lineRule="auto"/>
        <w:rPr>
          <w:rFonts w:hint="eastAsia" w:eastAsia="宋体"/>
          <w:sz w:val="24"/>
          <w:lang w:eastAsia="zh-CN"/>
        </w:rPr>
      </w:pPr>
      <w:r>
        <w:rPr>
          <w:rFonts w:hint="eastAsia" w:eastAsia="宋体"/>
          <w:sz w:val="24"/>
          <w:lang w:eastAsia="zh-CN"/>
        </w:rPr>
        <w:drawing>
          <wp:inline distT="0" distB="0" distL="114300" distR="114300">
            <wp:extent cx="2197100" cy="1782445"/>
            <wp:effectExtent l="0" t="0" r="12700" b="635"/>
            <wp:docPr id="9" name="图片 9" descr="完整_t8-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完整_t8-Model_00"/>
                    <pic:cNvPicPr>
                      <a:picLocks noChangeAspect="1"/>
                    </pic:cNvPicPr>
                  </pic:nvPicPr>
                  <pic:blipFill>
                    <a:blip r:embed="rId13"/>
                    <a:srcRect t="18180" b="24453"/>
                    <a:stretch>
                      <a:fillRect/>
                    </a:stretch>
                  </pic:blipFill>
                  <pic:spPr>
                    <a:xfrm>
                      <a:off x="0" y="0"/>
                      <a:ext cx="2197100" cy="1782445"/>
                    </a:xfrm>
                    <a:prstGeom prst="rect">
                      <a:avLst/>
                    </a:prstGeom>
                  </pic:spPr>
                </pic:pic>
              </a:graphicData>
            </a:graphic>
          </wp:inline>
        </w:drawing>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EoHml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Wq5kMJBzw3/yqaB21ot3iR7Bh8q&#10;rnrw95QEBn+L6kcQDq87rtJXRDh0GhomVab64tGFtAl8VWyGz9gwOuwiZqfGlvoEyB6IMTfkcG6I&#10;HqNQnCwXb9+/nnOvFJ+VHy7KRe5YAdXptqcQP2rsRQpqScw9o8P+NsTEBqpTSXrM4Y2xNjfdukcJ&#10;LkyZzD4RnoTHcTMePdhgc2AdhNMM8Q/ioEP6JcXA81PL8HMHpKWwnxx7kYbtFNAp2JwCcIqv1jJK&#10;MYXXcRrKnSez7Ri5zDIcXrFfrclSkpcTiyNPnoms8Di/aej+3ueqP392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Sgea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36B02"/>
    <w:multiLevelType w:val="multilevel"/>
    <w:tmpl w:val="07736B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1ZmU5MGEyNzQ2NTdkZWE0OGEyNjYwMTk3NDAyNjEifQ=="/>
  </w:docVars>
  <w:rsids>
    <w:rsidRoot w:val="00A33F7F"/>
    <w:rsid w:val="0000254E"/>
    <w:rsid w:val="00012A38"/>
    <w:rsid w:val="00071F73"/>
    <w:rsid w:val="000C13FF"/>
    <w:rsid w:val="000C473A"/>
    <w:rsid w:val="000E0A50"/>
    <w:rsid w:val="000E218C"/>
    <w:rsid w:val="000E5146"/>
    <w:rsid w:val="000E5D9F"/>
    <w:rsid w:val="001063C3"/>
    <w:rsid w:val="0011434D"/>
    <w:rsid w:val="001177E6"/>
    <w:rsid w:val="00143DB8"/>
    <w:rsid w:val="0014724A"/>
    <w:rsid w:val="001548A5"/>
    <w:rsid w:val="0015775E"/>
    <w:rsid w:val="001642DD"/>
    <w:rsid w:val="001765A6"/>
    <w:rsid w:val="00183652"/>
    <w:rsid w:val="00183D17"/>
    <w:rsid w:val="001A72C8"/>
    <w:rsid w:val="001B2184"/>
    <w:rsid w:val="001B3A7C"/>
    <w:rsid w:val="001E18A2"/>
    <w:rsid w:val="001F3ABD"/>
    <w:rsid w:val="00200009"/>
    <w:rsid w:val="00205AEF"/>
    <w:rsid w:val="00224DBB"/>
    <w:rsid w:val="00241901"/>
    <w:rsid w:val="002569C7"/>
    <w:rsid w:val="002A540A"/>
    <w:rsid w:val="002B074B"/>
    <w:rsid w:val="002B41D7"/>
    <w:rsid w:val="002C1856"/>
    <w:rsid w:val="002C1FC0"/>
    <w:rsid w:val="002C286E"/>
    <w:rsid w:val="002C3337"/>
    <w:rsid w:val="002E0BE3"/>
    <w:rsid w:val="0030130E"/>
    <w:rsid w:val="00301B6D"/>
    <w:rsid w:val="00312B71"/>
    <w:rsid w:val="0031459F"/>
    <w:rsid w:val="003314A2"/>
    <w:rsid w:val="00360F4A"/>
    <w:rsid w:val="0036496C"/>
    <w:rsid w:val="003A6286"/>
    <w:rsid w:val="003B1F64"/>
    <w:rsid w:val="003D48FF"/>
    <w:rsid w:val="003E00AC"/>
    <w:rsid w:val="003E5CBB"/>
    <w:rsid w:val="003F1B68"/>
    <w:rsid w:val="0041402D"/>
    <w:rsid w:val="00426122"/>
    <w:rsid w:val="004324B7"/>
    <w:rsid w:val="0045160F"/>
    <w:rsid w:val="00452908"/>
    <w:rsid w:val="0049250C"/>
    <w:rsid w:val="004A076E"/>
    <w:rsid w:val="004B140A"/>
    <w:rsid w:val="004B68B5"/>
    <w:rsid w:val="004D0156"/>
    <w:rsid w:val="004D3121"/>
    <w:rsid w:val="004D4D8A"/>
    <w:rsid w:val="00517A54"/>
    <w:rsid w:val="00517AF8"/>
    <w:rsid w:val="00530452"/>
    <w:rsid w:val="00530B6A"/>
    <w:rsid w:val="00555E82"/>
    <w:rsid w:val="005661AF"/>
    <w:rsid w:val="005714C6"/>
    <w:rsid w:val="005858C4"/>
    <w:rsid w:val="00597638"/>
    <w:rsid w:val="005B31BA"/>
    <w:rsid w:val="005E10C9"/>
    <w:rsid w:val="005E23A6"/>
    <w:rsid w:val="005E54BC"/>
    <w:rsid w:val="00603AF2"/>
    <w:rsid w:val="006129C9"/>
    <w:rsid w:val="00635E0C"/>
    <w:rsid w:val="00644564"/>
    <w:rsid w:val="00647D3D"/>
    <w:rsid w:val="00660559"/>
    <w:rsid w:val="00671BCA"/>
    <w:rsid w:val="00677C17"/>
    <w:rsid w:val="0069512C"/>
    <w:rsid w:val="006A5929"/>
    <w:rsid w:val="006C0172"/>
    <w:rsid w:val="00700B69"/>
    <w:rsid w:val="00701C6C"/>
    <w:rsid w:val="00714AF6"/>
    <w:rsid w:val="00720561"/>
    <w:rsid w:val="00722FB8"/>
    <w:rsid w:val="007231E7"/>
    <w:rsid w:val="007252F0"/>
    <w:rsid w:val="00745528"/>
    <w:rsid w:val="00757836"/>
    <w:rsid w:val="00764052"/>
    <w:rsid w:val="00765092"/>
    <w:rsid w:val="0076762C"/>
    <w:rsid w:val="00782630"/>
    <w:rsid w:val="007943CC"/>
    <w:rsid w:val="00794871"/>
    <w:rsid w:val="007C3753"/>
    <w:rsid w:val="007E04C1"/>
    <w:rsid w:val="007E4FB6"/>
    <w:rsid w:val="00817A03"/>
    <w:rsid w:val="00830617"/>
    <w:rsid w:val="00862D0D"/>
    <w:rsid w:val="0089701B"/>
    <w:rsid w:val="008C6887"/>
    <w:rsid w:val="008C6D9F"/>
    <w:rsid w:val="008D2A21"/>
    <w:rsid w:val="008D347E"/>
    <w:rsid w:val="008E1831"/>
    <w:rsid w:val="008E4807"/>
    <w:rsid w:val="008E6466"/>
    <w:rsid w:val="008F08C3"/>
    <w:rsid w:val="00915369"/>
    <w:rsid w:val="00916175"/>
    <w:rsid w:val="00916360"/>
    <w:rsid w:val="00920C0C"/>
    <w:rsid w:val="00947D03"/>
    <w:rsid w:val="00961925"/>
    <w:rsid w:val="00962462"/>
    <w:rsid w:val="00984CD9"/>
    <w:rsid w:val="009A7FC9"/>
    <w:rsid w:val="009E1E17"/>
    <w:rsid w:val="009F7E02"/>
    <w:rsid w:val="00A000AC"/>
    <w:rsid w:val="00A03B45"/>
    <w:rsid w:val="00A233B5"/>
    <w:rsid w:val="00A33F7F"/>
    <w:rsid w:val="00A47524"/>
    <w:rsid w:val="00A547B1"/>
    <w:rsid w:val="00A76A78"/>
    <w:rsid w:val="00AB00C6"/>
    <w:rsid w:val="00AB3506"/>
    <w:rsid w:val="00AD7062"/>
    <w:rsid w:val="00AE12F2"/>
    <w:rsid w:val="00AE1711"/>
    <w:rsid w:val="00AE6779"/>
    <w:rsid w:val="00AF1DBF"/>
    <w:rsid w:val="00AF4849"/>
    <w:rsid w:val="00B0527E"/>
    <w:rsid w:val="00B135CF"/>
    <w:rsid w:val="00B339E6"/>
    <w:rsid w:val="00B45B9F"/>
    <w:rsid w:val="00B570A1"/>
    <w:rsid w:val="00B62FA2"/>
    <w:rsid w:val="00B82C4F"/>
    <w:rsid w:val="00B841E1"/>
    <w:rsid w:val="00BA2EC0"/>
    <w:rsid w:val="00BA2F48"/>
    <w:rsid w:val="00BB5D20"/>
    <w:rsid w:val="00BC0351"/>
    <w:rsid w:val="00BE2FE0"/>
    <w:rsid w:val="00BE7477"/>
    <w:rsid w:val="00BF3116"/>
    <w:rsid w:val="00C04060"/>
    <w:rsid w:val="00C47318"/>
    <w:rsid w:val="00C5171B"/>
    <w:rsid w:val="00C54BB1"/>
    <w:rsid w:val="00C94B96"/>
    <w:rsid w:val="00C97E51"/>
    <w:rsid w:val="00CA04C6"/>
    <w:rsid w:val="00CB78E8"/>
    <w:rsid w:val="00CC20ED"/>
    <w:rsid w:val="00CF0137"/>
    <w:rsid w:val="00CF6A42"/>
    <w:rsid w:val="00D00D8D"/>
    <w:rsid w:val="00D32358"/>
    <w:rsid w:val="00D44C1D"/>
    <w:rsid w:val="00E4118F"/>
    <w:rsid w:val="00EA024C"/>
    <w:rsid w:val="00EB4A18"/>
    <w:rsid w:val="00EE18A9"/>
    <w:rsid w:val="00EE515C"/>
    <w:rsid w:val="00EE54DF"/>
    <w:rsid w:val="00EF7EA5"/>
    <w:rsid w:val="00F05795"/>
    <w:rsid w:val="00F21694"/>
    <w:rsid w:val="00F27B35"/>
    <w:rsid w:val="00F46770"/>
    <w:rsid w:val="00F60E36"/>
    <w:rsid w:val="00F6209E"/>
    <w:rsid w:val="00F74B10"/>
    <w:rsid w:val="00F77558"/>
    <w:rsid w:val="00FA00FD"/>
    <w:rsid w:val="00FB198D"/>
    <w:rsid w:val="00FB41BE"/>
    <w:rsid w:val="00FB6754"/>
    <w:rsid w:val="00FD0AF7"/>
    <w:rsid w:val="00FE12AB"/>
    <w:rsid w:val="00FE70C0"/>
    <w:rsid w:val="0F87344A"/>
    <w:rsid w:val="232C2424"/>
    <w:rsid w:val="41C035AC"/>
    <w:rsid w:val="57C63F6A"/>
    <w:rsid w:val="7D717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9">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0">
    <w:name w:val="灰"/>
    <w:basedOn w:val="9"/>
    <w:qFormat/>
    <w:uiPriority w:val="0"/>
    <w:pPr>
      <w:shd w:val="clear" w:color="auto" w:fill="CCCCCC"/>
    </w:pPr>
  </w:style>
  <w:style w:type="paragraph" w:customStyle="1" w:styleId="11">
    <w:name w:val="25灰表"/>
    <w:basedOn w:val="9"/>
    <w:qFormat/>
    <w:uiPriority w:val="0"/>
    <w:pPr>
      <w:shd w:val="clear" w:color="auto" w:fill="C0C0C0"/>
    </w:p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tmp26</Template>
  <Company>sh-tangent</Company>
  <Pages>12</Pages>
  <Words>1102</Words>
  <Characters>6284</Characters>
  <Lines>52</Lines>
  <Paragraphs>14</Paragraphs>
  <TotalTime>0</TotalTime>
  <ScaleCrop>false</ScaleCrop>
  <LinksUpToDate>false</LinksUpToDate>
  <CharactersWithSpaces>7372</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2021-01-19T08:25:00Z</dcterms:created>
  <dc:creator>Windows 用户</dc:creator>
  <cp:lastModifiedBy>栄伽俪</cp:lastModifiedBy>
  <cp:lastPrinted>2411-12-31T16:00:00Z</cp:lastPrinted>
  <dcterms:modified xsi:type="dcterms:W3CDTF">2023-03-06T07:30:52Z</dcterms:modified>
  <dc:title>上海日照分析报告模板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98ED52AB96B94FDC8361A929BB41B2C4</vt:lpwstr>
  </property>
</Properties>
</file>