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i w:val="0"/>
          <w:iCs w:val="0"/>
          <w:caps w:val="0"/>
          <w:color w:val="192427"/>
          <w:spacing w:val="0"/>
          <w:sz w:val="16"/>
          <w:szCs w:val="16"/>
          <w:shd w:val="clear" w:fill="FFFFFF"/>
        </w:rPr>
      </w:pPr>
      <w:r>
        <w:rPr>
          <w:rFonts w:ascii="微软雅黑" w:hAnsi="微软雅黑" w:eastAsia="微软雅黑" w:cs="微软雅黑"/>
          <w:i w:val="0"/>
          <w:iCs w:val="0"/>
          <w:caps w:val="0"/>
          <w:color w:val="192427"/>
          <w:spacing w:val="0"/>
          <w:sz w:val="16"/>
          <w:szCs w:val="16"/>
          <w:shd w:val="clear" w:fill="FFFFFF"/>
        </w:rPr>
        <w:t> </w:t>
      </w:r>
      <w:r>
        <w:rPr>
          <w:rFonts w:hint="eastAsia" w:ascii="微软雅黑" w:hAnsi="微软雅黑" w:eastAsia="微软雅黑" w:cs="微软雅黑"/>
          <w:i w:val="0"/>
          <w:iCs w:val="0"/>
          <w:caps w:val="0"/>
          <w:color w:val="192427"/>
          <w:spacing w:val="0"/>
          <w:sz w:val="16"/>
          <w:szCs w:val="16"/>
          <w:shd w:val="clear" w:fill="FFFFFF"/>
        </w:rPr>
        <w:t>当地建筑节能审查相关文件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各区县（市）、功能园区住建局、发改局、财政局、人防办、气象局、政务办、大数据局，消防救援大队，各有关单位：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为贯彻落实《国务院关于同意在浙江省暂时调整实施有关行政法规规定的批复》（国函〔2020〕140号）和省、市关于“最多跑一次”改革决策部署，统筹兼顾，分类推动施工图审查和民用建筑节能审查改革，现提出以下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贯彻落实《国务院办公厅关于全面开展工程建设项目审批制度改革的实施意见》（国办发〔2019〕11号）、省建设厅等7部门联合印发的《关于深化房屋建筑和市政基础设施工程施工图管理改革的实施意见》（浙建〔2020〕16号）等文件精神，深化投资项目“最多跑一次”改革，对标对表世界银行营商环境评价先进标准，对施工图进行分类审查和数字化管理，推动政府职能转变，深化事中事后监管，进一步减事项、减材料、减环节、减时间、减费用、减轻企业负担，深入提高审批工作效率，持续优化营商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（一）总体设计、统筹兼顾。根据施工图审查和民用建筑节能审查的普遍性和特殊性要求，深入谋划审批制度改革顶层设计，梳理整合、优化简化，能改则改、应改尽改，切实提高审批工作效率。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保障安全、质量第一。坚持问题导向，突出施工图审查对工程结构、消防、抗震、防雷等重大安全的审查把关作用，切实促进和维护城市安全发展；坚持目标导向，服从和服务于能源“双控”工作总体要求，促进民用建筑节能审查质量和水平明显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（三）压缩事前、强化事后。按照“事后监管为主，事前审查为辅”要求，减少以施工图审查作为申领施工许可证前置条件的项目；按照“最多跑一次”改革要求，优化营商环境，提高审批效率。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落实责任、责权明确。除建设工程五方责任主体外，按照“谁的工作谁负责、谁的业务谁负责、谁签字谁负责”原则，厘清施工图审查机构（以下简称“审图机构”）和建筑节能评估机构（以下简称“能评机构”）的责权边界，确保责任可追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按照特殊建设工程施工许可前审查、低风险工程免予审查、一般工程施工许可后审查的方式，对施工图审查实行分类管理，力争通过2～3年努力，施工图审查（含消防、人防、气象防雷审查）事中事后监管机制初步建立，建筑信息模型（BIM）推广应用稳步推进，建设工程全过程监管架构基本完成，为城市信息模型（CIM）和数字孪生城市建设奠定发展基础。民用建筑节能审查实现前端宽进、中间加强、末端收紧，节能评估审查效率和能效测评质量得到明显改善，全社会建筑节能意识明显提升，主体主责、各尽其责，勘察设计质量保障体系基本建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四、明确改革重点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（一）施工图审查豁免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符合单独申领施工许可证的以下低风险项目，实行审查豁免；其中：厂房、仓库等工业建筑工程实行施工图设计文件事后抽查，抽查比例由各区县（市）确定公布。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1、单独立项的公园绿地专项工程〔含附属用房，无地下空间开发和原大型建（构）筑物改造利用〕、建筑智能化专项工程和城市景观照明专项工程；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2、未涉及房屋建筑和市政基础设施主体结构安全的“污水零直排”项目和单独立项的海绵城市专项工程；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3、未涉及主体承重结构变动、使用功能变化以及未增加原设计荷载的老旧住宅小区和街景整治项目；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4、绿道项目、步行路或自行车道以及与之相配套的给排水、园林小品工程（不含涉及结构设计的城市雕塑）；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5、施工过程的临时技术性措施；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6、城市道路“白改黑”改造工程；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7、抢险救灾和应急临时房屋建筑、市政基础设施项目；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8、厂房、仓库等工业建筑工程：单体建筑面积不大于5000平方米、建筑高度不超过24米、跨度小于12米、不超过3层,无地下室（为生产、消防需要建设的地下泵房、消防水池除外），按照国家标准无需设置自动消防设施且不属于气象部门依法需要进行防雷装置设计审核的普通仓库、厂房等工业建筑工程；但以下负面清单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（1）生产或存放易燃易爆、有毒有害物品或危险品；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（2）涉及非小型市政公用设施接入的；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（3）市政管网配套不健全、需要破坏城市主干道或快速路的；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（4）位于文物保护单位的保护范围和建设控制地带内、地下文物埋藏区、《建设项目环境影响评价分类管理目录》确定的环境敏感区的；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（5）位于机要单位和名木古树30米范围的；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（6）有周边日照要求等可能影响周边主体相邻权等合法权益的；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（7）涉及燃气接入服务的。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（二）取消施工图设计文件事前审查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除《消防法》规定的应当在申领施工许可证前完成施工图审查的特殊建设工程项目和豁免项目外，其他项目全部实行事后审查；“宁波市建设工程全过程监管系统勘察设计模块”（以下简称“勘察设计模块”）中的施工图可作为事后审查项目、审查豁免项目办理施工许可证的依据（含应建防空地下室的民用建筑项目报建审批、建设工程质量安全监督手续）。事后审查项目的施工图未经审查合格的，不得作为后续施工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申请办理施工许可证的建设活动范围内有特殊建设工程情形的，整个建设活动范围所有项目按特殊建设工程实施审查。建设活动范围内仅有低风险工程的，方可作为低风险工程实行审查豁免。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五、落实改革措施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优化建筑节能审查环节。市和区县（市）住建部门不再核发《浙江省民用建筑节能审查意见书》，绿色建筑星级预评价结论以《施工图审查合格书》（以下简称“审图合格书”）记载的为准。建设单位或其委托的能评机构应当在审图机构出具审图合格书前提交节能评估文件和《宁波市施工图设计文件节能评估复核确认表》，并在施工图设计文件盖章前完成节能评估意见闭合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实行勘察设计事后监管。除《消防法》规定的特殊建设工程外，取消施工图设计事前审查环节，通过政府购买服务方式确定事后审查的审图机构。对事后审查项目，建设单位应当自项目施工许可证核发之日起最迟15个工作日内取得审图合格书，并应当在桩基或主体结构部位施工前取得审图合格书；其中：实行分阶段审查的，建设单位应当自项目第一阶段施工许可证核发之日起最迟15个工作日内取得审图合格书，且应当在桩基施工前取得审图合格书；第二阶段若涉及主体结构部位施工的，应当在申领施工许可证变更前取得审图合格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实行“多证合一”制度。对房屋建筑和市政基础设施工程，需要同时核发消防、人防、防雷等审图合格书的，实行合并核发，多证合一，一证通用（附件3）；对房屋建筑和市政基础设施工程以外的其他专项审查工程，只有一个合格书或涉及多个合格书的，同步推进多证合一，一证通用。逐步推广核发电子审图合格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探索设计在线变更审查确认。有序推动建设工程项目设计和节能审查在线变更确认。勘察设计变更文件实行勘察和设计、审查、变更、归档全程信息化；涉及人防防护结构、平面布局、应建及配建面积、战时功能和防护等级变更的，应重新报经人防主管部门审批后实行在线变更。设计在线变更管理办法由市住建局会同市发改委另行制订出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加大能效测评最终把关力度。建设单位与民用建筑节能评估机构签订节能评估合同时，应约定竣工能效测评的相关内容和要求。建筑用能分项计量及数据采集传输装置应当在竣工验收前接入市住建局建筑能耗监管信息平台，纳入能效测评报告，并确保在接入电网后持续正常运行；依法应进行能效测评的民用建筑项目，建设单位在组织竣工验收时，应提供具有“合格”结论的能效测评报告。未提供能效测评报告或测评结论不合格的，建设单位不得组织竣工验收。分标段验收的项目，建设单位应在最后标段验收前，提供该工程项目所有标段的能效测评合格报告，否则建设单位不得组织最后标段的竣工验收。本文件实施之日起，尚未竣工验收的项目均应执行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实行“多档合一”制度。消防、人防、气象等工程档案和建设工程竣工图归档实行“多档合一”。建设工程全过程监管系统中的所有施工图审查结果文件（豁免项目为施工图设计文件）和项目竣工验收后的结果资料作为统一归档材料，电子档案与纸质档案具备同等效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六、工作要求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一）加强组织领导。审批制度改革是完善“最多跑一次”改革决策部署、改善营商环境的迫切需要。各地各部门要切实加强组织领导，周密部署，稳妥推进，确保法定责任严、岗位责任实，领导责任进一步强化。要密切关注前置审批转换为事后监管带来的新要求、新变化，聚力聚焦解决产生的新问题，确保勘察设计质量和审批效率“双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二）加强系统整合和数据共享应用。一是加快启动建设工程全过程监管系统建设，依托“浙里办”APP，做好与浙江政务服务网、省投资项目在线审批监管平台的对接，实现建筑节能和施工图设计审查“一件事”联办，所有材料一站式申报、结果统一出具，为全市相关部门提供服务。二是依托市公共数据平台实现施工图、建筑节能等审查结果和档案数据归集共享和接口实时共享，为其它业务的数字化应用提供统一共享服务。2020年12月底前，完成施工图DWF格式升级改造成DWG格式和施工图设计文件“二维码”标识改造，确保“一图一码、一档一码”，电子图纸采用DWG格式或BIM模型文件。三是全面开展施工图设计在线变更，推动项目竣工验收后，施工图设计直接转换成竣工图，并实现无纸化竣工图档案归档。严格加密管理，保护企业知识产权；2022年1月1日起轨道交通项目审查接入“勘察设计模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三）完善审批制度统筹技术路线。审图机构和能评机构应当按照部、省、市住房城乡建设主管部门批准发布的施工图审查要点（含标准、规范、细则等）、节能审查要点开展技术审查工作。完善民用建筑竣工能效测评，推动能效测评和设计、施工、质量监督、竣工验收备案深度融合，《民用建筑竣工能效测评工作指引》详见附件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四）加快配套建设技术标准。加快研究制订有利于推进宁波市工程建设全过程图纸数字化、BIM、CIM应用的建设工程编码标准，统一规划应用于本市行政区域范围内建设工程预制管桩（管片）以及装配式建筑的射频识别技术，为未来BIM和CIM应用积累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五）提高勘察设计质量和水平。试点探索建立涉及住宅的房地产开发项目勘察设计质量社会风险评估机制；审图机构在审图过程中发现可能存在重大社会风险的，应当在核发审图合格书后30个工作日内向属地政府及其部门、建设单位、设计单位进行书面风险提示。房地产开发项目勘察设计质量社会风险评估管理办法由市住建局另行制订公布。建立对勘察设计质量、施工图审查质量的第四方监督机制，保证监督的独立性、权威性和公共性，加强廉政监督。提高审图质量和水平，施工图审查技术人员必须达到本科以上学历。研究勘察设计责任保险制度。加快探索人工智能施工图审查和建筑节能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六）切实加强事后监管。落实事后审查项目监管责任。各区县（市）住建、人防、气象部门要确保事后审查项目勘察设计质量监管到位；对事后审查、且未取得审图合格书的项目，已对桩基和主体结构部位进行施工的，建设行业主管部门应当责令建设单位、施工单位、监理单位立即停止施工，并依据有关法律、法规、规章进行处罚。切实加强建筑节能事后监管。节能评估机构出具虚假或者严重失实的建筑能效测评报告的，依法对节能评估机构和负有责任的评估人员进行处罚。对竣工验收后用能分项计量数据采集传输装置接入运行不正常的，按照“谁审批、谁监管”原则，由市建设数据和档案管理中心依据有关文件，函告负有监管责任的市建设房产监察支队或区县（市）住房城乡建设主管部门，由其依据《浙江省绿色建筑条例》有关规定予以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bdr w:val="none" w:color="auto" w:sz="0" w:space="0"/>
        </w:rPr>
        <w:t>本实施意见自2021年1月1日起实施，由市住建局负责解释。本意见施行之日起，已有规定与本意见不一致的，以本意见为准。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pPr>
        <w:rPr>
          <w:rFonts w:hint="eastAsia" w:ascii="微软雅黑" w:hAnsi="微软雅黑" w:eastAsia="微软雅黑" w:cs="微软雅黑"/>
          <w:i w:val="0"/>
          <w:iCs w:val="0"/>
          <w:caps w:val="0"/>
          <w:color w:val="192427"/>
          <w:spacing w:val="0"/>
          <w:sz w:val="16"/>
          <w:szCs w:val="16"/>
          <w:shd w:val="clear" w:fill="FFFFFF"/>
          <w:lang w:eastAsia="zh-CN"/>
        </w:rPr>
      </w:pPr>
      <w:bookmarkStart w:id="0" w:name="_GoBack"/>
      <w:bookmarkEnd w:id="0"/>
    </w:p>
    <w:p>
      <w:pPr>
        <w:rPr>
          <w:rFonts w:hint="eastAsia" w:ascii="微软雅黑" w:hAnsi="微软雅黑" w:eastAsia="微软雅黑" w:cs="微软雅黑"/>
          <w:i w:val="0"/>
          <w:iCs w:val="0"/>
          <w:caps w:val="0"/>
          <w:color w:val="121212"/>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DUyMGRjNmQ1NzkxNjFiM2ZiNTI5NmUwMDViODYifQ=="/>
  </w:docVars>
  <w:rsids>
    <w:rsidRoot w:val="2A6A0D3C"/>
    <w:rsid w:val="02D037B2"/>
    <w:rsid w:val="036C34DA"/>
    <w:rsid w:val="19923117"/>
    <w:rsid w:val="2A6A0D3C"/>
    <w:rsid w:val="33D53ED4"/>
    <w:rsid w:val="509251CF"/>
    <w:rsid w:val="5E0C2538"/>
    <w:rsid w:val="6E3D4575"/>
    <w:rsid w:val="79A65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2023-03-04T06:58:00Z</dcterms:created>
  <dc:creator>WPS_1677739481</dc:creator>
  <cp:lastModifiedBy>WPS_1677739481</cp:lastModifiedBy>
  <dcterms:modified xsi:type="dcterms:W3CDTF">2023-03-04T07:38:35Z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10DF81F9A9624082B16E376888B56E1D</vt:lpwstr>
  </property>
</Properties>
</file>