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 </w:t>
      </w:r>
      <w:r>
        <w:rPr>
          <w:rFonts w:hint="eastAsia" w:ascii="微软雅黑" w:hAnsi="微软雅黑" w:eastAsia="微软雅黑" w:cs="微软雅黑"/>
          <w:i w:val="0"/>
          <w:iCs w:val="0"/>
          <w:caps w:val="0"/>
          <w:color w:val="192427"/>
          <w:spacing w:val="0"/>
          <w:sz w:val="16"/>
          <w:szCs w:val="16"/>
          <w:shd w:val="clear" w:fill="FFFFFF"/>
        </w:rPr>
        <w:t>电冷源综合制冷性能系数（SCOP）计算书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 严寒和寒冷地区公共建筑体形系数应符合表3．2．1的规定。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kern w:val="0"/>
          <w:sz w:val="16"/>
          <w:szCs w:val="16"/>
          <w:bdr w:val="none" w:color="auto" w:sz="0" w:space="0"/>
          <w:shd w:val="clear" w:fill="FFFFFF"/>
          <w:vertAlign w:val="baseline"/>
          <w:lang w:val="en-US" w:eastAsia="zh-CN" w:bidi="ar"/>
        </w:rPr>
        <w:t>表3．2．1 严寒和寒冷地区公共建筑体形系数</w:t>
      </w:r>
    </w:p>
    <w:tbl>
      <w:tblPr>
        <w:tblW w:w="6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11"/>
        <w:gridCol w:w="2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单栋建筑面积A(m2)</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建筑体形系数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300&lt;A≤800</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A&gt;800</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≤0.40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Georgia" w:hAnsi="Georgia" w:eastAsia="Georgia" w:cs="Georgia"/>
          <w:i w:val="0"/>
          <w:iCs w:val="0"/>
          <w:caps w:val="0"/>
          <w:color w:val="474A4D"/>
          <w:spacing w:val="0"/>
          <w:sz w:val="16"/>
          <w:szCs w:val="16"/>
        </w:rPr>
      </w:pPr>
      <w:r>
        <w:rPr>
          <w:rFonts w:hint="default" w:ascii="Georgia" w:hAnsi="Georgia" w:eastAsia="Georgia" w:cs="Georgia"/>
          <w:i w:val="0"/>
          <w:iCs w:val="0"/>
          <w:caps w:val="0"/>
          <w:color w:val="474A4D"/>
          <w:spacing w:val="0"/>
          <w:kern w:val="0"/>
          <w:sz w:val="16"/>
          <w:szCs w:val="16"/>
          <w:bdr w:val="none" w:color="auto" w:sz="0" w:space="0"/>
          <w:shd w:val="clear" w:fill="FFFFFF"/>
          <w:vertAlign w:val="baseline"/>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3．2．2</w:t>
      </w:r>
      <w:r>
        <w:rPr>
          <w:rFonts w:hint="default" w:ascii="Georgia" w:hAnsi="Georgia" w:eastAsia="Georgia" w:cs="Georgia"/>
          <w:i w:val="0"/>
          <w:iCs w:val="0"/>
          <w:caps w:val="0"/>
          <w:color w:val="474A4D"/>
          <w:spacing w:val="0"/>
          <w:sz w:val="16"/>
          <w:szCs w:val="16"/>
          <w:bdr w:val="none" w:color="auto" w:sz="0" w:space="0"/>
          <w:shd w:val="clear" w:fill="FFFFFF"/>
          <w:vertAlign w:val="baseline"/>
        </w:rPr>
        <w:t> 严寒地区甲类公共建筑各单一立面窗墙面积比(包括透光幕墙)均不宜大于0．60；其他地区甲类公共建筑各单一立面窗墙面积比(包括透光幕墙)均不宜大于0．70。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3．2．3</w:t>
      </w:r>
      <w:r>
        <w:rPr>
          <w:rFonts w:hint="default" w:ascii="Georgia" w:hAnsi="Georgia" w:eastAsia="Georgia" w:cs="Georgia"/>
          <w:i w:val="0"/>
          <w:iCs w:val="0"/>
          <w:caps w:val="0"/>
          <w:color w:val="474A4D"/>
          <w:spacing w:val="0"/>
          <w:sz w:val="16"/>
          <w:szCs w:val="16"/>
          <w:bdr w:val="none" w:color="auto" w:sz="0" w:space="0"/>
          <w:shd w:val="clear" w:fill="FFFFFF"/>
          <w:vertAlign w:val="baseline"/>
        </w:rPr>
        <w:t> 单一立面窗墙面积比的计算应符合下列规定：</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1 凸凹立面朝向应按其所在立面的朝向计算；</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2 楼梯间和电梯间的外墙和外窗均应参与计算；</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3 外凸窗的顶部、底部和侧墙的面积不应计入外墙面积；</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4 当外墙上的外窗、顶部和侧面为不透光构造的凸窗时，窗面积应按窗洞口面积计算；当凸窗顶部和侧面透光时，外凸窗面积应按透光部分实际面积计算。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3．2．4</w:t>
      </w:r>
      <w:r>
        <w:rPr>
          <w:rFonts w:hint="default" w:ascii="Georgia" w:hAnsi="Georgia" w:eastAsia="Georgia" w:cs="Georgia"/>
          <w:i w:val="0"/>
          <w:iCs w:val="0"/>
          <w:caps w:val="0"/>
          <w:color w:val="474A4D"/>
          <w:spacing w:val="0"/>
          <w:sz w:val="16"/>
          <w:szCs w:val="16"/>
          <w:bdr w:val="none" w:color="auto" w:sz="0" w:space="0"/>
          <w:shd w:val="clear" w:fill="FFFFFF"/>
          <w:vertAlign w:val="baseline"/>
        </w:rPr>
        <w:t> 甲类公共建筑单一立面窗墙面积比小于0．40时，透光材料的可见光透射比不应小于0．60；甲类公共建筑单一立面窗墙面积比大于等于0．40时，透光材料的可见光透射比不应小于0．40。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3．2．5</w:t>
      </w:r>
      <w:r>
        <w:rPr>
          <w:rFonts w:hint="default" w:ascii="Georgia" w:hAnsi="Georgia" w:eastAsia="Georgia" w:cs="Georgia"/>
          <w:i w:val="0"/>
          <w:iCs w:val="0"/>
          <w:caps w:val="0"/>
          <w:color w:val="474A4D"/>
          <w:spacing w:val="0"/>
          <w:sz w:val="16"/>
          <w:szCs w:val="16"/>
          <w:bdr w:val="none" w:color="auto" w:sz="0" w:space="0"/>
          <w:shd w:val="clear" w:fill="FFFFFF"/>
          <w:vertAlign w:val="baseline"/>
        </w:rPr>
        <w:t> 夏热冬暖、夏热冬冷、温和地区的建筑各朝向外窗(包括透光幕墙)均应采取遮阳措施；寒冷地区的建筑宜采取遮阳措施。当设置外遮阳时应符合下列规定：</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1 东西向宜设置活动外遮阳，南向宜设置水平外遮阳；</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2 建筑外遮阳装置应兼顾通风及冬季日照。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3．2．6</w:t>
      </w:r>
      <w:r>
        <w:rPr>
          <w:rFonts w:hint="default" w:ascii="Georgia" w:hAnsi="Georgia" w:eastAsia="Georgia" w:cs="Georgia"/>
          <w:i w:val="0"/>
          <w:iCs w:val="0"/>
          <w:caps w:val="0"/>
          <w:color w:val="474A4D"/>
          <w:spacing w:val="0"/>
          <w:sz w:val="16"/>
          <w:szCs w:val="16"/>
          <w:bdr w:val="none" w:color="auto" w:sz="0" w:space="0"/>
          <w:shd w:val="clear" w:fill="FFFFFF"/>
          <w:vertAlign w:val="baseline"/>
        </w:rPr>
        <w:t> 建筑立面朝向的划分应符合下列规定：</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1 北向应为北偏西60°至北偏东60°；</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2 南向应为南偏西30°至南偏东30°；</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3 西向应为西偏北30°至西偏南60°(包括西偏北30°和西偏南60°)；</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4 东向应为东偏北30°至东偏南60°(包括东偏北30°和东偏南60°)。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3．2．7 甲类公共建筑的屋顶透光部分面积不应大于屋顶总面积的20％。当不能满足本条的规定时，必须按本标准规定的方法进行权衡判断。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3．2．8</w:t>
      </w:r>
      <w:r>
        <w:rPr>
          <w:rFonts w:hint="default" w:ascii="Georgia" w:hAnsi="Georgia" w:eastAsia="Georgia" w:cs="Georgia"/>
          <w:i w:val="0"/>
          <w:iCs w:val="0"/>
          <w:caps w:val="0"/>
          <w:color w:val="474A4D"/>
          <w:spacing w:val="0"/>
          <w:sz w:val="16"/>
          <w:szCs w:val="16"/>
          <w:bdr w:val="none" w:color="auto" w:sz="0" w:space="0"/>
          <w:shd w:val="clear" w:fill="FFFFFF"/>
          <w:vertAlign w:val="baseline"/>
        </w:rPr>
        <w:t> 单一立面外窗(包括透光幕墙)的有效通风换气面积应符合下列规定；</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1 甲类公共建筑外窗(包括透光幕墙)应设可开启窗扇，其有效通风换气面积不宜小于所在房间外墙面积的10％；当透光幕墙受条件限制无法设置可开启窗扇时，应设置通风换气装置。</w:t>
      </w:r>
      <w:r>
        <w:rPr>
          <w:rFonts w:hint="default" w:ascii="Georgia" w:hAnsi="Georgia" w:eastAsia="Georgia" w:cs="Georgia"/>
          <w:i w:val="0"/>
          <w:iCs w:val="0"/>
          <w:caps w:val="0"/>
          <w:color w:val="474A4D"/>
          <w:spacing w:val="0"/>
          <w:sz w:val="16"/>
          <w:szCs w:val="16"/>
          <w:bdr w:val="none" w:color="auto" w:sz="0" w:space="0"/>
          <w:shd w:val="clear" w:fill="FFFFFF"/>
          <w:vertAlign w:val="baseline"/>
        </w:rPr>
        <w:br w:type="textWrapping"/>
      </w:r>
      <w:r>
        <w:rPr>
          <w:rFonts w:hint="default" w:ascii="Georgia" w:hAnsi="Georgia" w:eastAsia="Georgia" w:cs="Georgia"/>
          <w:i w:val="0"/>
          <w:iCs w:val="0"/>
          <w:caps w:val="0"/>
          <w:color w:val="474A4D"/>
          <w:spacing w:val="0"/>
          <w:sz w:val="16"/>
          <w:szCs w:val="16"/>
          <w:bdr w:val="none" w:color="auto" w:sz="0" w:space="0"/>
          <w:shd w:val="clear" w:fill="FFFFFF"/>
          <w:vertAlign w:val="baseline"/>
        </w:rPr>
        <w:t>    2 乙类公共建筑外窗有效通风换气面积不宜小于窗面积的30％。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3．2．9</w:t>
      </w:r>
      <w:r>
        <w:rPr>
          <w:rFonts w:hint="default" w:ascii="Georgia" w:hAnsi="Georgia" w:eastAsia="Georgia" w:cs="Georgia"/>
          <w:i w:val="0"/>
          <w:iCs w:val="0"/>
          <w:caps w:val="0"/>
          <w:color w:val="474A4D"/>
          <w:spacing w:val="0"/>
          <w:sz w:val="16"/>
          <w:szCs w:val="16"/>
          <w:bdr w:val="none" w:color="auto" w:sz="0" w:space="0"/>
          <w:shd w:val="clear" w:fill="FFFFFF"/>
          <w:vertAlign w:val="baseline"/>
        </w:rPr>
        <w:t> 外窗(包括透光幕墙)的有效通风换气面积应为开启扇面积和窗开启后的空气流通界面面积的较小值。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3．2．10</w:t>
      </w:r>
      <w:r>
        <w:rPr>
          <w:rFonts w:hint="default" w:ascii="Georgia" w:hAnsi="Georgia" w:eastAsia="Georgia" w:cs="Georgia"/>
          <w:i w:val="0"/>
          <w:iCs w:val="0"/>
          <w:caps w:val="0"/>
          <w:color w:val="474A4D"/>
          <w:spacing w:val="0"/>
          <w:sz w:val="16"/>
          <w:szCs w:val="16"/>
          <w:bdr w:val="none" w:color="auto" w:sz="0" w:space="0"/>
          <w:shd w:val="clear" w:fill="FFFFFF"/>
          <w:vertAlign w:val="baseline"/>
        </w:rPr>
        <w:t> 严寒地区建筑的外门应设置门斗；寒冷地区建筑面向冬季主导风向的外门应设置门斗或双层外门，其他外门宜设置门斗或应采取其他减少冷风渗透的措施；夏热冬冷、夏热冬暖和温和地区建筑的外门应采取保温隔热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3．2．11</w:t>
      </w:r>
      <w:r>
        <w:rPr>
          <w:rFonts w:hint="default" w:ascii="Georgia" w:hAnsi="Georgia" w:eastAsia="Georgia" w:cs="Georgia"/>
          <w:i w:val="0"/>
          <w:iCs w:val="0"/>
          <w:caps w:val="0"/>
          <w:color w:val="474A4D"/>
          <w:spacing w:val="0"/>
          <w:sz w:val="16"/>
          <w:szCs w:val="16"/>
          <w:bdr w:val="none" w:color="auto" w:sz="0" w:space="0"/>
          <w:shd w:val="clear" w:fill="FFFFFF"/>
          <w:vertAlign w:val="baseline"/>
        </w:rPr>
        <w:t> 建筑中庭应充分利用自然通风降温，并可设置机械排风装置加强自然补风。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3．2．12</w:t>
      </w:r>
      <w:r>
        <w:rPr>
          <w:rFonts w:hint="default" w:ascii="Georgia" w:hAnsi="Georgia" w:eastAsia="Georgia" w:cs="Georgia"/>
          <w:i w:val="0"/>
          <w:iCs w:val="0"/>
          <w:caps w:val="0"/>
          <w:color w:val="474A4D"/>
          <w:spacing w:val="0"/>
          <w:sz w:val="16"/>
          <w:szCs w:val="16"/>
          <w:bdr w:val="none" w:color="auto" w:sz="0" w:space="0"/>
          <w:shd w:val="clear" w:fill="FFFFFF"/>
          <w:vertAlign w:val="baseline"/>
        </w:rPr>
        <w:t> 建筑设计应充分利用天然采光。天然采光不能满足照明要求的场所，宜采用导光、反光等装置将自然光引入室内。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3．2．13</w:t>
      </w:r>
      <w:r>
        <w:rPr>
          <w:rFonts w:hint="default" w:ascii="Georgia" w:hAnsi="Georgia" w:eastAsia="Georgia" w:cs="Georgia"/>
          <w:i w:val="0"/>
          <w:iCs w:val="0"/>
          <w:caps w:val="0"/>
          <w:color w:val="474A4D"/>
          <w:spacing w:val="0"/>
          <w:sz w:val="16"/>
          <w:szCs w:val="16"/>
          <w:bdr w:val="none" w:color="auto" w:sz="0" w:space="0"/>
          <w:shd w:val="clear" w:fill="FFFFFF"/>
          <w:vertAlign w:val="baseline"/>
        </w:rPr>
        <w:t> 人员长期停留房间的内表面可见光反射比宜符合表3．2．13的规定。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kern w:val="0"/>
          <w:sz w:val="16"/>
          <w:szCs w:val="16"/>
          <w:bdr w:val="none" w:color="auto" w:sz="0" w:space="0"/>
          <w:shd w:val="clear" w:fill="FFFFFF"/>
          <w:vertAlign w:val="baseline"/>
          <w:lang w:val="en-US" w:eastAsia="zh-CN" w:bidi="ar"/>
        </w:rPr>
        <w:t>表3．2．13 人员长期停留房间的内表面可见光反射比</w:t>
      </w:r>
    </w:p>
    <w:tbl>
      <w:tblPr>
        <w:tblW w:w="6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48"/>
        <w:gridCol w:w="3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房间内表面位置</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可观光反射比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顶棚.</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墙面</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地面</w:t>
            </w:r>
          </w:p>
        </w:tc>
        <w:tc>
          <w:tcPr>
            <w:tcW w:w="0" w:type="auto"/>
            <w:tcBorders>
              <w:top w:val="single" w:color="666666" w:sz="2" w:space="0"/>
              <w:left w:val="single" w:color="666666" w:sz="2" w:space="0"/>
              <w:bottom w:val="single" w:color="666666" w:sz="4" w:space="0"/>
              <w:right w:val="single" w:color="666666" w:sz="4" w:space="0"/>
            </w:tcBorders>
            <w:shd w:val="clear"/>
            <w:tcMar>
              <w:top w:w="96" w:type="dxa"/>
              <w:left w:w="96" w:type="dxa"/>
              <w:bottom w:w="96" w:type="dxa"/>
              <w:right w:w="96" w:type="dxa"/>
            </w:tcMar>
            <w:vAlign w:val="top"/>
          </w:tcPr>
          <w:p>
            <w:pPr>
              <w:keepNext w:val="0"/>
              <w:keepLines w:val="0"/>
              <w:widowControl/>
              <w:suppressLineNumbers w:val="0"/>
              <w:spacing w:before="0" w:beforeAutospacing="0" w:after="0" w:afterAutospacing="0" w:line="14" w:lineRule="atLeast"/>
              <w:ind w:left="0" w:right="0"/>
              <w:jc w:val="left"/>
              <w:textAlignment w:val="baseline"/>
              <w:rPr>
                <w:rFonts w:hint="default" w:ascii="Georgia" w:hAnsi="Georgia" w:eastAsia="Georgia" w:cs="Georgia"/>
                <w:sz w:val="15"/>
                <w:szCs w:val="15"/>
              </w:rPr>
            </w:pPr>
            <w:r>
              <w:rPr>
                <w:rFonts w:hint="default" w:ascii="Georgia" w:hAnsi="Georgia" w:eastAsia="Georgia" w:cs="Georgia"/>
                <w:kern w:val="0"/>
                <w:sz w:val="15"/>
                <w:szCs w:val="15"/>
                <w:bdr w:val="none" w:color="auto" w:sz="0" w:space="0"/>
                <w:vertAlign w:val="baseline"/>
                <w:lang w:val="en-US" w:eastAsia="zh-CN" w:bidi="ar"/>
              </w:rPr>
              <w:t>0.3~0.5</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Georgia" w:hAnsi="Georgia" w:eastAsia="Georgia" w:cs="Georgia"/>
          <w:i w:val="0"/>
          <w:iCs w:val="0"/>
          <w:caps w:val="0"/>
          <w:color w:val="474A4D"/>
          <w:spacing w:val="0"/>
          <w:sz w:val="16"/>
          <w:szCs w:val="16"/>
        </w:rPr>
      </w:pPr>
      <w:r>
        <w:rPr>
          <w:rFonts w:hint="default" w:ascii="Georgia" w:hAnsi="Georgia" w:eastAsia="Georgia" w:cs="Georgia"/>
          <w:i w:val="0"/>
          <w:iCs w:val="0"/>
          <w:caps w:val="0"/>
          <w:color w:val="474A4D"/>
          <w:spacing w:val="0"/>
          <w:kern w:val="0"/>
          <w:sz w:val="16"/>
          <w:szCs w:val="16"/>
          <w:bdr w:val="none" w:color="auto" w:sz="0" w:space="0"/>
          <w:shd w:val="clear" w:fill="FFFFFF"/>
          <w:vertAlign w:val="baseline"/>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3．2．14</w:t>
      </w:r>
      <w:r>
        <w:rPr>
          <w:rFonts w:hint="default" w:ascii="Georgia" w:hAnsi="Georgia" w:eastAsia="Georgia" w:cs="Georgia"/>
          <w:i w:val="0"/>
          <w:iCs w:val="0"/>
          <w:caps w:val="0"/>
          <w:color w:val="474A4D"/>
          <w:spacing w:val="0"/>
          <w:sz w:val="16"/>
          <w:szCs w:val="16"/>
          <w:bdr w:val="none" w:color="auto" w:sz="0" w:space="0"/>
          <w:shd w:val="clear" w:fill="FFFFFF"/>
          <w:vertAlign w:val="baseline"/>
        </w:rPr>
        <w:t> 电梯应具备节能运行功能。两台及以上电梯集中排列时，应设置群控措施。电梯应具备无外部召唤且轿厢内一段时间无预置指令时，自动转为节能运行模式的功能。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6" w:beforeAutospacing="0" w:after="216" w:afterAutospacing="0"/>
        <w:ind w:left="0" w:right="0" w:firstLine="0"/>
        <w:jc w:val="both"/>
        <w:textAlignment w:val="baseline"/>
        <w:rPr>
          <w:rFonts w:hint="default" w:ascii="Georgia" w:hAnsi="Georgia" w:eastAsia="Georgia" w:cs="Georgia"/>
          <w:i w:val="0"/>
          <w:iCs w:val="0"/>
          <w:caps w:val="0"/>
          <w:color w:val="474A4D"/>
          <w:spacing w:val="0"/>
          <w:sz w:val="16"/>
          <w:szCs w:val="16"/>
        </w:rPr>
      </w:pPr>
      <w:r>
        <w:rPr>
          <w:rStyle w:val="7"/>
          <w:rFonts w:hint="default" w:ascii="Georgia" w:hAnsi="Georgia" w:eastAsia="Georgia" w:cs="Georgia"/>
          <w:b/>
          <w:bCs/>
          <w:i w:val="0"/>
          <w:iCs w:val="0"/>
          <w:caps w:val="0"/>
          <w:color w:val="474A4D"/>
          <w:spacing w:val="0"/>
          <w:sz w:val="16"/>
          <w:szCs w:val="16"/>
          <w:bdr w:val="none" w:color="auto" w:sz="0" w:space="0"/>
          <w:shd w:val="clear" w:fill="FFFFFF"/>
          <w:vertAlign w:val="baseline"/>
        </w:rPr>
        <w:t>3．2．15</w:t>
      </w:r>
      <w:r>
        <w:rPr>
          <w:rFonts w:hint="default" w:ascii="Georgia" w:hAnsi="Georgia" w:eastAsia="Georgia" w:cs="Georgia"/>
          <w:i w:val="0"/>
          <w:iCs w:val="0"/>
          <w:caps w:val="0"/>
          <w:color w:val="474A4D"/>
          <w:spacing w:val="0"/>
          <w:sz w:val="16"/>
          <w:szCs w:val="16"/>
          <w:bdr w:val="none" w:color="auto" w:sz="0" w:space="0"/>
          <w:shd w:val="clear" w:fill="FFFFFF"/>
          <w:vertAlign w:val="baseline"/>
        </w:rPr>
        <w:t> 自动扶梯、自动人行步道应具备空载时暂停或低速运转的功能。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192427"/>
          <w:spacing w:val="0"/>
          <w:sz w:val="16"/>
          <w:szCs w:val="16"/>
          <w:shd w:val="clear" w:fill="FFFFFF"/>
        </w:rPr>
      </w:pPr>
      <w:bookmarkStart w:id="0" w:name="_GoBack"/>
      <w:bookmarkEnd w:id="0"/>
    </w:p>
    <w:p>
      <w:pPr>
        <w:rPr>
          <w:rFonts w:hint="eastAsia" w:ascii="微软雅黑" w:hAnsi="微软雅黑" w:eastAsia="微软雅黑" w:cs="微软雅黑"/>
          <w:i w:val="0"/>
          <w:iCs w:val="0"/>
          <w:caps w:val="0"/>
          <w:color w:val="192427"/>
          <w:spacing w:val="0"/>
          <w:sz w:val="16"/>
          <w:szCs w:val="16"/>
          <w:shd w:val="clear" w:fill="FFFFFF"/>
          <w:lang w:eastAsia="zh-CN"/>
        </w:rPr>
      </w:pPr>
    </w:p>
    <w:p>
      <w:pPr>
        <w:rPr>
          <w:rFonts w:hint="eastAsia" w:ascii="微软雅黑" w:hAnsi="微软雅黑" w:eastAsia="微软雅黑" w:cs="微软雅黑"/>
          <w:i w:val="0"/>
          <w:iCs w:val="0"/>
          <w:caps w:val="0"/>
          <w:color w:val="121212"/>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19923117"/>
    <w:rsid w:val="2A6A0D3C"/>
    <w:rsid w:val="33D53ED4"/>
    <w:rsid w:val="34401C96"/>
    <w:rsid w:val="509251CF"/>
    <w:rsid w:val="5E0C2538"/>
    <w:rsid w:val="6E3D4575"/>
    <w:rsid w:val="6E5042A8"/>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721</Words>
  <Characters>912</Characters>
  <Lines>0</Lines>
  <Paragraphs>0</Paragraphs>
  <TotalTime>12</TotalTime>
  <ScaleCrop>false</ScaleCrop>
  <LinksUpToDate>false</LinksUpToDate>
  <CharactersWithSpaces>938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2D1E178F59914BB698B6728A246C4D6B</vt:lpwstr>
  </property>
</Properties>
</file>