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  <w:highlight w:val="none"/>
        </w:rPr>
      </w:pPr>
      <w:bookmarkStart w:id="50" w:name="_GoBack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highlight w:val="none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  <w:highlight w:val="none"/>
        </w:rPr>
      </w:pPr>
      <w:r>
        <w:rPr>
          <w:rFonts w:hint="eastAsia" w:ascii="黑体" w:hAnsi="宋体" w:eastAsia="黑体"/>
          <w:b/>
          <w:bCs/>
          <w:sz w:val="72"/>
          <w:szCs w:val="72"/>
          <w:highlight w:val="none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highlight w:val="none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highlight w:val="none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highlight w:val="none"/>
          <w:lang w:val="en-US"/>
        </w:rPr>
      </w:pPr>
    </w:p>
    <w:p>
      <w:pPr>
        <w:pStyle w:val="16"/>
        <w:rPr>
          <w:highlight w:val="none"/>
        </w:rPr>
      </w:pPr>
      <w:bookmarkStart w:id="1" w:name="地理位置"/>
      <w:bookmarkStart w:id="2" w:name="项目名称"/>
      <w:bookmarkStart w:id="3" w:name="设计编号"/>
      <w:bookmarkStart w:id="4" w:name="加密锁号"/>
      <w:bookmarkStart w:id="5" w:name="报告日期"/>
      <w:bookmarkStart w:id="6" w:name="建设单位"/>
      <w:bookmarkStart w:id="7" w:name="软件全称"/>
      <w:bookmarkStart w:id="8" w:name="设计单位"/>
      <w:bookmarkStart w:id="9" w:name="软件版本"/>
      <w:bookmarkStart w:id="10" w:name="二维码"/>
      <w:bookmarkStart w:id="11" w:name="目录"/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pStyle w:val="2"/>
        <w:rPr>
          <w:highlight w:val="none"/>
        </w:rPr>
      </w:pPr>
      <w:bookmarkStart w:id="12" w:name="_Toc12446"/>
      <w:bookmarkStart w:id="13" w:name="工程名称"/>
      <w:bookmarkStart w:id="14" w:name="工程地点"/>
      <w:bookmarkStart w:id="15" w:name="纬度"/>
      <w:bookmarkStart w:id="16" w:name="经度"/>
      <w:bookmarkStart w:id="17" w:name="地上建筑层数"/>
      <w:bookmarkStart w:id="18" w:name="地上建筑面积"/>
      <w:bookmarkStart w:id="19" w:name="地下建筑面积"/>
      <w:bookmarkStart w:id="20" w:name="地下建筑层数"/>
      <w:bookmarkStart w:id="21" w:name="地上建筑高度"/>
      <w:bookmarkStart w:id="22" w:name="地下建筑高度"/>
      <w:bookmarkStart w:id="23" w:name="建筑体积"/>
      <w:bookmarkStart w:id="24" w:name="外表面积"/>
      <w:bookmarkStart w:id="25" w:name="北向角度"/>
      <w:bookmarkStart w:id="26" w:name="结构类型"/>
      <w:bookmarkStart w:id="27" w:name="外墙ρ"/>
      <w:bookmarkStart w:id="28" w:name="屋顶ρ"/>
      <w:bookmarkStart w:id="29" w:name="控温期"/>
      <w:bookmarkStart w:id="30" w:name="TitleFormat"/>
      <w:bookmarkStart w:id="31" w:name="围护结构概况"/>
      <w:r>
        <w:rPr>
          <w:rFonts w:hint="eastAsia"/>
          <w:highlight w:val="none"/>
        </w:rPr>
        <w:t>计算依据</w:t>
      </w:r>
      <w:bookmarkEnd w:id="12"/>
    </w:p>
    <w:p>
      <w:pPr>
        <w:pStyle w:val="3"/>
        <w:ind w:firstLine="0" w:firstLineChars="0"/>
        <w:rPr>
          <w:highlight w:val="none"/>
          <w:lang w:val="en-US"/>
        </w:rPr>
      </w:pPr>
      <w:bookmarkStart w:id="32" w:name="计算依据"/>
      <w:bookmarkEnd w:id="32"/>
      <w:r>
        <w:rPr>
          <w:highlight w:val="none"/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highlight w:val="none"/>
          <w:lang w:val="en-US"/>
        </w:rPr>
      </w:pPr>
      <w:r>
        <w:rPr>
          <w:highlight w:val="none"/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highlight w:val="none"/>
          <w:lang w:val="en-US"/>
        </w:rPr>
      </w:pPr>
      <w:r>
        <w:rPr>
          <w:highlight w:val="none"/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highlight w:val="none"/>
          <w:lang w:val="en-US"/>
        </w:rPr>
      </w:pPr>
      <w:r>
        <w:rPr>
          <w:highlight w:val="none"/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highlight w:val="none"/>
          <w:lang w:val="en-US"/>
        </w:rPr>
      </w:pPr>
      <w:r>
        <w:rPr>
          <w:highlight w:val="none"/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highlight w:val="none"/>
          <w:lang w:val="en-US"/>
        </w:rPr>
      </w:pPr>
    </w:p>
    <w:p>
      <w:pPr>
        <w:pStyle w:val="2"/>
        <w:rPr>
          <w:highlight w:val="none"/>
        </w:rPr>
      </w:pPr>
      <w:bookmarkStart w:id="33" w:name="_Toc4797"/>
      <w:r>
        <w:rPr>
          <w:rFonts w:hint="eastAsia"/>
          <w:highlight w:val="none"/>
        </w:rPr>
        <w:t>气象数据</w:t>
      </w:r>
      <w:bookmarkEnd w:id="33"/>
    </w:p>
    <w:p>
      <w:pPr>
        <w:pStyle w:val="4"/>
        <w:rPr>
          <w:highlight w:val="none"/>
        </w:rPr>
      </w:pPr>
      <w:bookmarkStart w:id="34" w:name="_Toc10664"/>
      <w:r>
        <w:rPr>
          <w:rFonts w:hint="eastAsia"/>
          <w:highlight w:val="none"/>
        </w:rPr>
        <w:t>气象地点</w:t>
      </w:r>
      <w:bookmarkEnd w:id="34"/>
    </w:p>
    <w:p>
      <w:pPr>
        <w:pStyle w:val="3"/>
        <w:ind w:firstLine="420"/>
        <w:rPr>
          <w:highlight w:val="none"/>
          <w:lang w:val="en-US"/>
        </w:rPr>
      </w:pPr>
      <w:bookmarkStart w:id="35" w:name="气象数据来源"/>
      <w:r>
        <w:rPr>
          <w:rFonts w:hint="eastAsia"/>
          <w:highlight w:val="none"/>
          <w:lang w:val="en-US" w:eastAsia="zh-CN"/>
        </w:rPr>
        <w:t>黑龙江</w:t>
      </w:r>
      <w:r>
        <w:rPr>
          <w:highlight w:val="none"/>
        </w:rPr>
        <w:t>-</w:t>
      </w:r>
      <w:r>
        <w:rPr>
          <w:rFonts w:hint="eastAsia"/>
          <w:highlight w:val="none"/>
          <w:lang w:val="en-US" w:eastAsia="zh-CN"/>
        </w:rPr>
        <w:t>安达</w:t>
      </w:r>
      <w:r>
        <w:rPr>
          <w:highlight w:val="none"/>
        </w:rPr>
        <w:t>, 《中国建筑热环境分析专用气象数据集》</w:t>
      </w:r>
      <w:bookmarkEnd w:id="35"/>
    </w:p>
    <w:p>
      <w:pPr>
        <w:pStyle w:val="2"/>
        <w:widowControl w:val="0"/>
        <w:jc w:val="both"/>
        <w:rPr>
          <w:highlight w:val="none"/>
        </w:rPr>
      </w:pPr>
      <w:bookmarkStart w:id="36" w:name="气象峰值工况"/>
      <w:bookmarkEnd w:id="36"/>
      <w:bookmarkStart w:id="37" w:name="_Toc20340"/>
      <w:r>
        <w:rPr>
          <w:highlight w:val="none"/>
        </w:rPr>
        <w:t>围护结构</w:t>
      </w:r>
      <w:bookmarkEnd w:id="37"/>
    </w:p>
    <w:p>
      <w:pPr>
        <w:pStyle w:val="4"/>
        <w:widowControl w:val="0"/>
        <w:jc w:val="both"/>
        <w:rPr>
          <w:highlight w:val="none"/>
        </w:rPr>
      </w:pPr>
      <w:bookmarkStart w:id="38" w:name="_Toc28034"/>
      <w:r>
        <w:rPr>
          <w:highlight w:val="none"/>
        </w:rPr>
        <w:t>围护结构作法简要说明</w:t>
      </w:r>
      <w:bookmarkEnd w:id="38"/>
    </w:p>
    <w:p>
      <w:pPr>
        <w:widowControl w:val="0"/>
        <w:jc w:val="both"/>
        <w:rPr>
          <w:kern w:val="2"/>
          <w:szCs w:val="24"/>
          <w:highlight w:val="none"/>
          <w:lang w:val="en-US"/>
        </w:rPr>
      </w:pPr>
      <w:bookmarkStart w:id="39" w:name="_Toc23497"/>
      <w:r>
        <w:rPr>
          <w:b/>
          <w:color w:val="000000"/>
          <w:kern w:val="2"/>
          <w:sz w:val="27"/>
          <w:szCs w:val="27"/>
          <w:highlight w:val="none"/>
          <w:lang w:val="en-US"/>
        </w:rPr>
        <w:t>1. 屋顶构造：</w:t>
      </w:r>
      <w:r>
        <w:rPr>
          <w:color w:val="0000FF"/>
          <w:kern w:val="2"/>
          <w:sz w:val="21"/>
          <w:szCs w:val="21"/>
          <w:highlight w:val="none"/>
          <w:lang w:val="en-US"/>
        </w:rPr>
        <w:t>屋顶构造二：</w:t>
      </w:r>
      <w:r>
        <w:rPr>
          <w:color w:val="000000"/>
          <w:kern w:val="2"/>
          <w:szCs w:val="24"/>
          <w:highlight w:val="none"/>
          <w:lang w:val="en-US"/>
        </w:rPr>
        <w:t>（由上到下）</w:t>
      </w:r>
    </w:p>
    <w:p>
      <w:pPr>
        <w:widowControl w:val="0"/>
        <w:jc w:val="both"/>
        <w:rPr>
          <w:rFonts w:hint="eastAsia" w:eastAsia="宋体"/>
          <w:color w:val="000000"/>
          <w:kern w:val="2"/>
          <w:szCs w:val="24"/>
          <w:highlight w:val="none"/>
          <w:lang w:val="en-US" w:eastAsia="zh-CN"/>
        </w:rPr>
      </w:pPr>
      <w:r>
        <w:rPr>
          <w:kern w:val="2"/>
          <w:szCs w:val="24"/>
          <w:highlight w:val="none"/>
          <w:lang w:val="en-US"/>
        </w:rPr>
        <w:t xml:space="preserve"> </w:t>
      </w:r>
      <w:r>
        <w:rPr>
          <w:rFonts w:hint="eastAsia" w:eastAsia="宋体"/>
          <w:color w:val="000000"/>
          <w:kern w:val="2"/>
          <w:szCs w:val="24"/>
          <w:highlight w:val="none"/>
          <w:lang w:val="en-US" w:eastAsia="zh-CN"/>
        </w:rPr>
        <w:drawing>
          <wp:inline distT="0" distB="0" distL="114300" distR="114300">
            <wp:extent cx="5758180" cy="3106420"/>
            <wp:effectExtent l="0" t="0" r="13970" b="17780"/>
            <wp:docPr id="2" name="图片 2" descr="3fd32095271ce80cf68b969b8a05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d32095271ce80cf68b969b8a05cb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jc w:val="both"/>
        <w:rPr>
          <w:color w:val="000000"/>
          <w:kern w:val="2"/>
          <w:szCs w:val="24"/>
          <w:highlight w:val="none"/>
          <w:lang w:val="en-US"/>
        </w:rPr>
      </w:pPr>
      <w:r>
        <w:rPr>
          <w:b/>
          <w:color w:val="000000"/>
          <w:kern w:val="2"/>
          <w:sz w:val="27"/>
          <w:szCs w:val="27"/>
          <w:highlight w:val="none"/>
          <w:lang w:val="en-US"/>
        </w:rPr>
        <w:t>外墙构造：</w:t>
      </w:r>
      <w:r>
        <w:rPr>
          <w:color w:val="0000FF"/>
          <w:kern w:val="2"/>
          <w:sz w:val="21"/>
          <w:szCs w:val="21"/>
          <w:highlight w:val="none"/>
          <w:lang w:val="en-US"/>
        </w:rPr>
        <w:t>外墙构造一：</w:t>
      </w:r>
      <w:r>
        <w:rPr>
          <w:color w:val="000000"/>
          <w:kern w:val="2"/>
          <w:szCs w:val="24"/>
          <w:highlight w:val="none"/>
          <w:lang w:val="en-US"/>
        </w:rPr>
        <w:t>（由外到内）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color w:val="000000"/>
          <w:kern w:val="2"/>
          <w:szCs w:val="24"/>
          <w:highlight w:val="none"/>
          <w:lang w:val="en-US" w:eastAsia="zh-CN"/>
        </w:rPr>
      </w:pPr>
      <w:r>
        <w:rPr>
          <w:rFonts w:hint="eastAsia" w:eastAsia="宋体"/>
          <w:color w:val="000000"/>
          <w:kern w:val="2"/>
          <w:szCs w:val="24"/>
          <w:highlight w:val="none"/>
          <w:lang w:val="en-US" w:eastAsia="zh-CN"/>
        </w:rPr>
        <w:drawing>
          <wp:inline distT="0" distB="0" distL="114300" distR="114300">
            <wp:extent cx="5754370" cy="3142615"/>
            <wp:effectExtent l="0" t="0" r="17780" b="635"/>
            <wp:docPr id="3" name="图片 3" descr="8137f1cdcb01786cf1b1e9af5e976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37f1cdcb01786cf1b1e9af5e976a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color w:val="000000"/>
          <w:kern w:val="2"/>
          <w:szCs w:val="24"/>
          <w:highlight w:val="none"/>
          <w:lang w:val="en-US"/>
        </w:rPr>
      </w:pPr>
      <w:r>
        <w:rPr>
          <w:b/>
          <w:color w:val="000000"/>
          <w:kern w:val="2"/>
          <w:sz w:val="27"/>
          <w:szCs w:val="27"/>
          <w:highlight w:val="none"/>
          <w:lang w:val="en-US"/>
        </w:rPr>
        <w:t>挑空楼板构造：</w:t>
      </w:r>
      <w:r>
        <w:rPr>
          <w:color w:val="0000FF"/>
          <w:kern w:val="2"/>
          <w:sz w:val="21"/>
          <w:szCs w:val="21"/>
          <w:highlight w:val="none"/>
          <w:lang w:val="en-US"/>
        </w:rPr>
        <w:t>挑空楼板构造一：</w:t>
      </w:r>
      <w:r>
        <w:rPr>
          <w:color w:val="000000"/>
          <w:kern w:val="2"/>
          <w:szCs w:val="24"/>
          <w:highlight w:val="none"/>
          <w:lang w:val="en-US"/>
        </w:rPr>
        <w:t>（由上到下）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eastAsia="宋体"/>
          <w:color w:val="000000"/>
          <w:kern w:val="2"/>
          <w:szCs w:val="24"/>
          <w:highlight w:val="none"/>
          <w:lang w:val="en-US" w:eastAsia="zh-CN"/>
        </w:rPr>
      </w:pPr>
      <w:r>
        <w:rPr>
          <w:rFonts w:hint="eastAsia" w:eastAsia="宋体"/>
          <w:color w:val="000000"/>
          <w:kern w:val="2"/>
          <w:szCs w:val="24"/>
          <w:highlight w:val="none"/>
          <w:lang w:val="en-US" w:eastAsia="zh-CN"/>
        </w:rPr>
        <w:drawing>
          <wp:inline distT="0" distB="0" distL="114300" distR="114300">
            <wp:extent cx="5754370" cy="3200400"/>
            <wp:effectExtent l="0" t="0" r="17780" b="0"/>
            <wp:docPr id="4" name="图片 4" descr="1ebc5cbd3327418ce8ed630419feb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ebc5cbd3327418ce8ed630419feb7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color w:val="0000FF"/>
          <w:kern w:val="2"/>
          <w:sz w:val="21"/>
          <w:szCs w:val="21"/>
          <w:highlight w:val="none"/>
          <w:lang w:val="en-US"/>
        </w:rPr>
      </w:pPr>
      <w:r>
        <w:rPr>
          <w:b/>
          <w:color w:val="000000"/>
          <w:kern w:val="2"/>
          <w:sz w:val="27"/>
          <w:szCs w:val="27"/>
          <w:highlight w:val="none"/>
          <w:lang w:val="en-US"/>
        </w:rPr>
        <w:t>幕墙：</w:t>
      </w:r>
      <w:r>
        <w:rPr>
          <w:color w:val="0000FF"/>
          <w:kern w:val="2"/>
          <w:sz w:val="21"/>
          <w:szCs w:val="21"/>
          <w:highlight w:val="none"/>
          <w:lang w:val="en-US"/>
        </w:rPr>
        <w:t>幕墙构造：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eastAsia="宋体"/>
          <w:color w:val="0000FF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eastAsia="宋体"/>
          <w:color w:val="0000FF"/>
          <w:kern w:val="2"/>
          <w:sz w:val="21"/>
          <w:szCs w:val="21"/>
          <w:highlight w:val="none"/>
          <w:lang w:val="en-US" w:eastAsia="zh-CN"/>
        </w:rPr>
        <w:drawing>
          <wp:inline distT="0" distB="0" distL="114300" distR="114300">
            <wp:extent cx="5756275" cy="3215005"/>
            <wp:effectExtent l="0" t="0" r="15875" b="4445"/>
            <wp:docPr id="5" name="图片 5" descr="44aedfc1ce7125e087c4569e6c4a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4aedfc1ce7125e087c4569e6c4a37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color w:val="0000FF"/>
          <w:kern w:val="2"/>
          <w:sz w:val="21"/>
          <w:szCs w:val="21"/>
          <w:highlight w:val="none"/>
          <w:lang w:val="en-US"/>
        </w:rPr>
      </w:pPr>
      <w:r>
        <w:rPr>
          <w:b/>
          <w:color w:val="000000"/>
          <w:kern w:val="2"/>
          <w:sz w:val="27"/>
          <w:szCs w:val="27"/>
          <w:highlight w:val="none"/>
          <w:lang w:val="en-US"/>
        </w:rPr>
        <w:t>外窗：</w:t>
      </w:r>
      <w:r>
        <w:rPr>
          <w:color w:val="0000FF"/>
          <w:kern w:val="2"/>
          <w:sz w:val="21"/>
          <w:szCs w:val="21"/>
          <w:highlight w:val="none"/>
          <w:lang w:val="en-US"/>
        </w:rPr>
        <w:t>外窗构造：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eastAsia="宋体"/>
          <w:color w:val="0000FF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eastAsia="宋体"/>
          <w:color w:val="0000FF"/>
          <w:kern w:val="2"/>
          <w:sz w:val="21"/>
          <w:szCs w:val="21"/>
          <w:highlight w:val="none"/>
          <w:lang w:val="en-US" w:eastAsia="zh-CN"/>
        </w:rPr>
        <w:drawing>
          <wp:inline distT="0" distB="0" distL="114300" distR="114300">
            <wp:extent cx="5756275" cy="3215005"/>
            <wp:effectExtent l="0" t="0" r="15875" b="4445"/>
            <wp:docPr id="6" name="图片 6" descr="44aedfc1ce7125e087c4569e6c4a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4aedfc1ce7125e087c4569e6c4a37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>房间类型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  <w:highlight w:val="none"/>
          <w:lang w:val="en-US"/>
        </w:rPr>
      </w:pPr>
      <w:bookmarkStart w:id="40" w:name="_Toc23252"/>
      <w:bookmarkStart w:id="41" w:name="_Toc7299"/>
      <w:r>
        <w:rPr>
          <w:color w:val="000000"/>
          <w:kern w:val="2"/>
          <w:szCs w:val="24"/>
          <w:highlight w:val="none"/>
          <w:lang w:val="en-US"/>
        </w:rPr>
        <w:t>房间表</w:t>
      </w:r>
      <w:bookmarkEnd w:id="4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highlight w:val="none"/>
              </w:rPr>
              <w:t>空调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highlight w:val="none"/>
              </w:rPr>
              <w:t>供暖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highlight w:val="none"/>
              </w:rPr>
              <w:t>新风量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换气次数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highlight w:val="none"/>
              </w:rPr>
              <w:t>渗透风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highlight w:val="none"/>
              </w:rPr>
              <w:t>照明功率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highlight w:val="none"/>
              </w:rPr>
              <w:t>电器设备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办公-会议室</w:t>
            </w:r>
          </w:p>
        </w:tc>
        <w:tc>
          <w:tcP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26</w:t>
            </w:r>
          </w:p>
        </w:tc>
        <w:tc>
          <w:tcP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18</w:t>
            </w:r>
          </w:p>
        </w:tc>
        <w:tc>
          <w:tcPr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  <w:r>
              <w:rPr>
                <w:highlight w:val="none"/>
              </w:rPr>
              <w:t>(次/h)</w:t>
            </w:r>
          </w:p>
        </w:tc>
        <w:tc>
          <w:tcP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2.5(㎡/人)</w:t>
            </w:r>
          </w:p>
        </w:tc>
        <w:tc>
          <w:tcP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9(W/㎡)</w:t>
            </w:r>
          </w:p>
        </w:tc>
        <w:tc>
          <w:tcP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办公-其它</w:t>
            </w:r>
          </w:p>
        </w:tc>
        <w:tc>
          <w:tcP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26</w:t>
            </w:r>
          </w:p>
        </w:tc>
        <w:tc>
          <w:tcP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20</w:t>
            </w:r>
          </w:p>
        </w:tc>
        <w:tc>
          <w:tcPr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  <w:r>
              <w:rPr>
                <w:highlight w:val="none"/>
              </w:rPr>
              <w:t>(次/h)</w:t>
            </w:r>
          </w:p>
        </w:tc>
        <w:tc>
          <w:tcP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20(㎡/人)</w:t>
            </w:r>
          </w:p>
        </w:tc>
        <w:tc>
          <w:tcP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11(W/㎡)</w:t>
            </w:r>
          </w:p>
        </w:tc>
        <w:tc>
          <w:tcP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26</w:t>
            </w:r>
          </w:p>
        </w:tc>
        <w:tc>
          <w:tcP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20</w:t>
            </w:r>
          </w:p>
        </w:tc>
        <w:tc>
          <w:tcPr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  <w:r>
              <w:rPr>
                <w:highlight w:val="none"/>
              </w:rPr>
              <w:t>(次/h)</w:t>
            </w:r>
          </w:p>
        </w:tc>
        <w:tc>
          <w:tcP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8(㎡/人)</w:t>
            </w:r>
          </w:p>
        </w:tc>
        <w:tc>
          <w:tcP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9(W/㎡)</w:t>
            </w:r>
          </w:p>
        </w:tc>
        <w:tc>
          <w:tcP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15(W/㎡)</w:t>
            </w:r>
          </w:p>
        </w:tc>
      </w:tr>
    </w:tbl>
    <w:p>
      <w:pPr>
        <w:pStyle w:val="4"/>
        <w:widowControl w:val="0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>作息时间表</w:t>
      </w:r>
      <w:bookmarkEnd w:id="41"/>
    </w:p>
    <w:p>
      <w:pPr>
        <w:widowControl w:val="0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>详见附录</w:t>
      </w:r>
    </w:p>
    <w:p>
      <w:pPr>
        <w:pStyle w:val="2"/>
        <w:widowControl w:val="0"/>
        <w:jc w:val="both"/>
        <w:rPr>
          <w:color w:val="000000"/>
          <w:highlight w:val="none"/>
        </w:rPr>
      </w:pPr>
      <w:bookmarkStart w:id="42" w:name="_Toc19157"/>
      <w:r>
        <w:rPr>
          <w:color w:val="000000"/>
          <w:highlight w:val="none"/>
        </w:rPr>
        <w:t>暖通空调系统</w:t>
      </w:r>
      <w:bookmarkEnd w:id="42"/>
    </w:p>
    <w:p>
      <w:pPr>
        <w:pStyle w:val="4"/>
        <w:widowControl w:val="0"/>
        <w:jc w:val="both"/>
        <w:rPr>
          <w:color w:val="000000"/>
          <w:highlight w:val="none"/>
        </w:rPr>
      </w:pPr>
      <w:bookmarkStart w:id="43" w:name="_Toc5725"/>
      <w:r>
        <w:rPr>
          <w:color w:val="000000"/>
          <w:highlight w:val="none"/>
        </w:rPr>
        <w:t>系统类型</w:t>
      </w:r>
      <w:bookmarkEnd w:id="43"/>
    </w:p>
    <w:p>
      <w:pPr>
        <w:pStyle w:val="3"/>
        <w:ind w:firstLine="420"/>
        <w:jc w:val="left"/>
        <w:rPr>
          <w:rFonts w:hint="eastAsia"/>
          <w:highlight w:val="none"/>
          <w:lang w:val="en-US"/>
        </w:rPr>
      </w:pPr>
      <w:r>
        <w:rPr>
          <w:rFonts w:hint="eastAsia"/>
          <w:highlight w:val="none"/>
          <w:lang w:val="en-US"/>
        </w:rPr>
        <w:t>1、</w:t>
      </w:r>
      <w:r>
        <w:rPr>
          <w:rFonts w:hint="eastAsia"/>
          <w:highlight w:val="none"/>
          <w:lang w:val="en-US" w:eastAsia="zh-CN"/>
        </w:rPr>
        <w:t>夏季采用空调系统。空调系统</w:t>
      </w:r>
      <w:r>
        <w:rPr>
          <w:rFonts w:hint="eastAsia"/>
          <w:highlight w:val="none"/>
          <w:lang w:val="en-US"/>
        </w:rPr>
        <w:t>按不同使用功能</w:t>
      </w:r>
      <w:r>
        <w:rPr>
          <w:rFonts w:hint="eastAsia"/>
          <w:highlight w:val="none"/>
          <w:lang w:val="en-US" w:eastAsia="zh-CN"/>
        </w:rPr>
        <w:t>分为不同的系统，空调采用多联机系统，</w:t>
      </w:r>
      <w:r>
        <w:rPr>
          <w:rFonts w:hint="eastAsia"/>
          <w:highlight w:val="none"/>
          <w:lang w:val="en-US"/>
        </w:rPr>
        <w:t>满足</w:t>
      </w:r>
      <w:r>
        <w:rPr>
          <w:rFonts w:hint="eastAsia"/>
          <w:highlight w:val="none"/>
          <w:lang w:val="en-US" w:eastAsia="zh-CN"/>
        </w:rPr>
        <w:t>节能和</w:t>
      </w:r>
      <w:r>
        <w:rPr>
          <w:rFonts w:hint="eastAsia"/>
          <w:highlight w:val="none"/>
          <w:lang w:val="en-US"/>
        </w:rPr>
        <w:t>系统运行要求。</w:t>
      </w:r>
    </w:p>
    <w:p>
      <w:pPr>
        <w:pStyle w:val="3"/>
        <w:ind w:firstLine="420"/>
        <w:jc w:val="left"/>
        <w:rPr>
          <w:highlight w:val="none"/>
        </w:rPr>
      </w:pPr>
      <w:r>
        <w:rPr>
          <w:rFonts w:hint="eastAsia"/>
          <w:highlight w:val="none"/>
          <w:lang w:val="en-US" w:eastAsia="zh-CN"/>
        </w:rPr>
        <w:t>2、冬季采用散热器供暖系统，由于严寒地区供暖需求大，所以采用原方案通过接入市政的供暖系统，对该建筑进行供暖。</w:t>
      </w:r>
    </w:p>
    <w:p>
      <w:pPr>
        <w:pStyle w:val="4"/>
        <w:widowControl w:val="0"/>
        <w:jc w:val="both"/>
        <w:rPr>
          <w:color w:val="000000"/>
          <w:highlight w:val="none"/>
        </w:rPr>
      </w:pPr>
      <w:bookmarkStart w:id="44" w:name="_Toc23791"/>
      <w:r>
        <w:rPr>
          <w:color w:val="000000"/>
          <w:highlight w:val="none"/>
        </w:rPr>
        <w:t>全年能耗</w:t>
      </w:r>
      <w:bookmarkEnd w:id="44"/>
    </w:p>
    <w:tbl>
      <w:tblPr>
        <w:tblStyle w:val="18"/>
        <w:tblW w:w="501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268"/>
        <w:gridCol w:w="3113"/>
        <w:gridCol w:w="2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能耗子类</w:t>
            </w:r>
          </w:p>
        </w:tc>
        <w:tc>
          <w:tcPr>
            <w:tcW w:w="167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设计建筑</w:t>
            </w:r>
          </w:p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highlight w:val="none"/>
                <w:lang w:val="en-US"/>
              </w:rPr>
              <w:t>(kWh/</w:t>
            </w:r>
            <w:r>
              <w:rPr>
                <w:rFonts w:hint="eastAsia"/>
                <w:highlight w:val="none"/>
                <w:lang w:val="en-US"/>
              </w:rPr>
              <w:t>㎡</w:t>
            </w:r>
            <w:r>
              <w:rPr>
                <w:highlight w:val="none"/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备注</w:t>
            </w:r>
          </w:p>
        </w:tc>
      </w:tr>
      <w:bookmarkEnd w:id="1"/>
      <w:bookmarkEnd w:id="2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建筑能耗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冷热合计</w:t>
            </w:r>
          </w:p>
          <w:bookmarkEnd w:id="3"/>
        </w:tc>
        <w:tc>
          <w:tcPr>
            <w:tcW w:w="1670" w:type="pct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48.86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</w:tr>
      <w:bookmarkEnd w:id="4"/>
      <w:bookmarkEnd w:id="5"/>
      <w:bookmarkEnd w:id="6"/>
      <w:bookmarkEnd w:id="7"/>
      <w:bookmarkEnd w:id="8"/>
      <w:bookmarkEnd w:id="9"/>
      <w:bookmarkEnd w:id="1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(</w:t>
            </w:r>
            <w:r>
              <w:rPr>
                <w:highlight w:val="none"/>
                <w:lang w:val="en-US"/>
              </w:rPr>
              <w:t>Ec)</w:t>
            </w: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多联机/单元式空调</w:t>
            </w:r>
          </w:p>
          <w:bookmarkEnd w:id="11"/>
        </w:tc>
        <w:tc>
          <w:tcPr>
            <w:tcW w:w="1670" w:type="pct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10.24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供冷合计</w:t>
            </w:r>
          </w:p>
        </w:tc>
        <w:tc>
          <w:tcPr>
            <w:tcW w:w="1670" w:type="pct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10.24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(</w:t>
            </w:r>
            <w:r>
              <w:rPr>
                <w:highlight w:val="none"/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中央热源</w:t>
            </w:r>
          </w:p>
          <w:bookmarkEnd w:id="13"/>
        </w:tc>
        <w:tc>
          <w:tcPr>
            <w:tcW w:w="1670" w:type="pct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7.58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</w:tr>
      <w:bookmarkEnd w:id="14"/>
      <w:bookmarkEnd w:id="15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供暖合计</w:t>
            </w:r>
          </w:p>
          <w:bookmarkEnd w:id="16"/>
        </w:tc>
        <w:tc>
          <w:tcPr>
            <w:tcW w:w="1670" w:type="pct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7.58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</w:tr>
      <w:bookmarkEnd w:id="17"/>
      <w:bookmarkEnd w:id="18"/>
      <w:bookmarkEnd w:id="1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(</w:t>
            </w:r>
            <w:r>
              <w:rPr>
                <w:highlight w:val="none"/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全空气系统</w:t>
            </w:r>
          </w:p>
          <w:bookmarkEnd w:id="20"/>
        </w:tc>
        <w:tc>
          <w:tcPr>
            <w:tcW w:w="1670" w:type="pct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2.21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风机合计</w:t>
            </w:r>
          </w:p>
          <w:bookmarkEnd w:id="21"/>
        </w:tc>
        <w:tc>
          <w:tcPr>
            <w:tcW w:w="1670" w:type="pct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2.21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照明</w:t>
            </w:r>
            <w:r>
              <w:rPr>
                <w:highlight w:val="none"/>
                <w:lang w:val="en-US"/>
              </w:rPr>
              <w:t>电耗</w:t>
            </w:r>
          </w:p>
          <w:bookmarkEnd w:id="22"/>
        </w:tc>
        <w:tc>
          <w:tcPr>
            <w:tcW w:w="1670" w:type="pct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30.02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插座</w:t>
            </w:r>
            <w:r>
              <w:rPr>
                <w:highlight w:val="none"/>
                <w:lang w:val="en-US"/>
              </w:rPr>
              <w:t>设备电耗</w:t>
            </w:r>
          </w:p>
          <w:bookmarkEnd w:id="23"/>
        </w:tc>
        <w:tc>
          <w:tcPr>
            <w:tcW w:w="1670" w:type="pct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-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其他电耗</w:t>
            </w:r>
            <w:r>
              <w:rPr>
                <w:highlight w:val="none"/>
                <w:lang w:val="en-US"/>
              </w:rPr>
              <w:t>(Eo</w:t>
            </w:r>
            <w:bookmarkEnd w:id="24"/>
            <w:r>
              <w:rPr>
                <w:highlight w:val="none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电梯</w:t>
            </w:r>
          </w:p>
        </w:tc>
        <w:tc>
          <w:tcPr>
            <w:tcW w:w="1670" w:type="pct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0.65</w:t>
            </w:r>
            <w:bookmarkEnd w:id="2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独立排风机</w:t>
            </w:r>
          </w:p>
        </w:tc>
        <w:tc>
          <w:tcPr>
            <w:tcW w:w="1670" w:type="pct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1.35</w:t>
            </w:r>
            <w:bookmarkEnd w:id="2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生活热水</w:t>
            </w:r>
          </w:p>
        </w:tc>
        <w:tc>
          <w:tcPr>
            <w:tcW w:w="1670" w:type="pct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0.00</w:t>
            </w:r>
            <w:bookmarkEnd w:id="2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其他合计</w:t>
            </w:r>
          </w:p>
        </w:tc>
        <w:tc>
          <w:tcPr>
            <w:tcW w:w="1670" w:type="pct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2.00</w:t>
            </w:r>
            <w:bookmarkEnd w:id="2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可再生能源</w:t>
            </w:r>
          </w:p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(</w:t>
            </w:r>
            <w:r>
              <w:rPr>
                <w:highlight w:val="none"/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太阳能热水(</w:t>
            </w:r>
            <w:r>
              <w:rPr>
                <w:highlight w:val="none"/>
                <w:lang w:val="en-US"/>
              </w:rPr>
              <w:t>Es)</w:t>
            </w:r>
          </w:p>
          <w:bookmarkEnd w:id="29"/>
        </w:tc>
        <w:tc>
          <w:tcPr>
            <w:tcW w:w="1670" w:type="pct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1.07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太阳能热水面积400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9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光伏发电(</w:t>
            </w:r>
            <w:r>
              <w:rPr>
                <w:highlight w:val="none"/>
                <w:lang w:val="en-US"/>
              </w:rPr>
              <w:t>Ep)</w:t>
            </w:r>
          </w:p>
        </w:tc>
        <w:tc>
          <w:tcPr>
            <w:tcW w:w="1670" w:type="pct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28.6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光伏发电面积800m2</w:t>
            </w:r>
          </w:p>
          <w:p>
            <w:pPr>
              <w:ind w:firstLine="0" w:firstLineChars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光伏玻璃面积420m2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合计</w:t>
            </w:r>
          </w:p>
        </w:tc>
        <w:tc>
          <w:tcPr>
            <w:tcW w:w="1670" w:type="pct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/>
              </w:rPr>
              <w:t>2</w:t>
            </w:r>
            <w:r>
              <w:rPr>
                <w:rFonts w:hint="eastAsia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highlight w:val="none"/>
                <w:lang w:val="en-US"/>
              </w:rPr>
              <w:t>.</w:t>
            </w:r>
            <w:r>
              <w:rPr>
                <w:rFonts w:hint="eastAsia"/>
                <w:highlight w:val="none"/>
                <w:lang w:val="en-US" w:eastAsia="zh-CN"/>
              </w:rPr>
              <w:t>67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建筑总能耗(E1)：电耗(kWh/㎡)</w:t>
            </w:r>
            <w:bookmarkEnd w:id="30"/>
          </w:p>
          <w:bookmarkEnd w:id="31"/>
        </w:tc>
        <w:tc>
          <w:tcPr>
            <w:tcW w:w="1670" w:type="pct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22.38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highlight w:val="none"/>
                <w:lang w:val="en-US"/>
              </w:rPr>
            </w:pPr>
            <w:r>
              <w:rPr>
                <w:highlight w:val="none"/>
                <w:lang w:val="en-US"/>
              </w:rPr>
              <w:t>E1=Ec+Eh+Ef+Eo-Ep</w:t>
            </w:r>
          </w:p>
        </w:tc>
      </w:tr>
    </w:tbl>
    <w:p>
      <w:pPr>
        <w:rPr>
          <w:highlight w:val="none"/>
        </w:rPr>
      </w:pPr>
    </w:p>
    <w:p>
      <w:pPr>
        <w:widowControl w:val="0"/>
        <w:jc w:val="both"/>
        <w:rPr>
          <w:color w:val="000000"/>
          <w:highlight w:val="none"/>
        </w:rPr>
      </w:pPr>
    </w:p>
    <w:p>
      <w:pPr>
        <w:widowControl w:val="0"/>
        <w:jc w:val="both"/>
        <w:rPr>
          <w:color w:val="000000"/>
          <w:highlight w:val="none"/>
        </w:rPr>
      </w:pPr>
    </w:p>
    <w:p>
      <w:pPr>
        <w:rPr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  <w:highlight w:val="none"/>
        </w:rPr>
      </w:pPr>
      <w:bookmarkStart w:id="45" w:name="_Toc9530"/>
      <w:r>
        <w:rPr>
          <w:color w:val="000000"/>
          <w:highlight w:val="none"/>
        </w:rPr>
        <w:t>附录</w:t>
      </w:r>
      <w:bookmarkEnd w:id="45"/>
    </w:p>
    <w:p>
      <w:pPr>
        <w:pStyle w:val="4"/>
        <w:widowControl w:val="0"/>
        <w:jc w:val="both"/>
        <w:rPr>
          <w:color w:val="000000"/>
          <w:highlight w:val="none"/>
        </w:rPr>
      </w:pPr>
      <w:bookmarkStart w:id="46" w:name="_Toc6868"/>
      <w:r>
        <w:rPr>
          <w:color w:val="000000"/>
          <w:highlight w:val="none"/>
        </w:rPr>
        <w:t>工作日/节假日人员逐时在室率(%)</w:t>
      </w:r>
      <w:bookmarkEnd w:id="46"/>
    </w:p>
    <w:p>
      <w:pPr>
        <w:rPr>
          <w:highlight w:val="none"/>
        </w:rPr>
      </w:pPr>
    </w:p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  <w:highlight w:val="none"/>
        </w:rPr>
      </w:pPr>
    </w:p>
    <w:p>
      <w:pPr>
        <w:rPr>
          <w:highlight w:val="none"/>
        </w:rPr>
      </w:pPr>
      <w:r>
        <w:rPr>
          <w:highlight w:val="none"/>
        </w:rPr>
        <w:t>注：上行：工作日；下行：节假日</w:t>
      </w:r>
    </w:p>
    <w:p>
      <w:pPr>
        <w:pStyle w:val="4"/>
        <w:rPr>
          <w:highlight w:val="none"/>
        </w:rPr>
      </w:pPr>
      <w:bookmarkStart w:id="47" w:name="_Toc31366"/>
      <w:r>
        <w:rPr>
          <w:highlight w:val="none"/>
        </w:rPr>
        <w:t>工作日/节假日照明开关时间表(%)</w:t>
      </w:r>
      <w:bookmarkEnd w:id="47"/>
    </w:p>
    <w:p>
      <w:pPr>
        <w:rPr>
          <w:highlight w:val="none"/>
        </w:rPr>
      </w:pPr>
    </w:p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  <w:r>
        <w:rPr>
          <w:highlight w:val="none"/>
        </w:rPr>
        <w:t>注：上行：工作日；下行：节假日</w:t>
      </w:r>
    </w:p>
    <w:p>
      <w:pPr>
        <w:pStyle w:val="4"/>
        <w:rPr>
          <w:highlight w:val="none"/>
        </w:rPr>
      </w:pPr>
      <w:bookmarkStart w:id="48" w:name="_Toc22046"/>
      <w:r>
        <w:rPr>
          <w:highlight w:val="none"/>
        </w:rPr>
        <w:t>工作日/节假日设备逐时使用率(%)</w:t>
      </w:r>
      <w:bookmarkEnd w:id="48"/>
    </w:p>
    <w:p>
      <w:pPr>
        <w:rPr>
          <w:highlight w:val="none"/>
        </w:rPr>
      </w:pPr>
    </w:p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1"/>
                <w:szCs w:val="11"/>
                <w:highlight w:val="none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  <w:r>
        <w:rPr>
          <w:highlight w:val="none"/>
        </w:rPr>
        <w:t>注：上行：工作日；下行：节假日</w:t>
      </w:r>
    </w:p>
    <w:p>
      <w:pPr>
        <w:pStyle w:val="4"/>
        <w:rPr>
          <w:highlight w:val="none"/>
        </w:rPr>
      </w:pPr>
      <w:bookmarkStart w:id="49" w:name="_Toc24256"/>
      <w:r>
        <w:rPr>
          <w:highlight w:val="none"/>
        </w:rPr>
        <w:t>工作日/节假日空调系统运行时间表(1:开,0:关)</w:t>
      </w:r>
      <w:bookmarkEnd w:id="49"/>
    </w:p>
    <w:p>
      <w:pPr>
        <w:rPr>
          <w:highlight w:val="none"/>
        </w:rPr>
      </w:pPr>
    </w:p>
    <w:bookmarkEnd w:id="0"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多联机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lang w:val="en-US"/>
              </w:rPr>
              <w:t>0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  <w:r>
        <w:rPr>
          <w:highlight w:val="none"/>
        </w:rPr>
        <w:t>注：上行：工作日；下行：节假日</w:t>
      </w:r>
    </w:p>
    <w:p>
      <w:pPr>
        <w:rPr>
          <w:highlight w:val="none"/>
        </w:rPr>
      </w:pPr>
    </w:p>
    <w:bookmarkEnd w:id="5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662F7C6A"/>
    <w:multiLevelType w:val="singleLevel"/>
    <w:tmpl w:val="662F7C6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xMTI4Njk1YTkzNTZmYWZkYTdkMjM2NGNhOGFkYTQifQ=="/>
  </w:docVars>
  <w:rsids>
    <w:rsidRoot w:val="5EAF7277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  <w:rsid w:val="05251068"/>
    <w:rsid w:val="0D63181B"/>
    <w:rsid w:val="1B5E426A"/>
    <w:rsid w:val="2D47386A"/>
    <w:rsid w:val="2F5B2F54"/>
    <w:rsid w:val="364C2B74"/>
    <w:rsid w:val="47CB1DB0"/>
    <w:rsid w:val="5B36201D"/>
    <w:rsid w:val="5B4812AC"/>
    <w:rsid w:val="5B5A7644"/>
    <w:rsid w:val="5EAF7277"/>
    <w:rsid w:val="607D004F"/>
    <w:rsid w:val="683A1F7D"/>
    <w:rsid w:val="693D1D24"/>
    <w:rsid w:val="761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tmp29.dotx</Template>
  <Pages>7</Pages>
  <Words>1476</Words>
  <Characters>1950</Characters>
  <Lines>43</Lines>
  <Paragraphs>12</Paragraphs>
  <TotalTime>2</TotalTime>
  <ScaleCrop>false</ScaleCrop>
  <LinksUpToDate>false</LinksUpToDate>
  <CharactersWithSpaces>1960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2021-12-20T07:35:00Z</dcterms:created>
  <dc:creator>T</dc:creator>
  <cp:lastModifiedBy>T</cp:lastModifiedBy>
  <dcterms:modified xsi:type="dcterms:W3CDTF">2023-01-03T09:14:09Z</dcterms:modified>
  <dc:title>建筑全能耗报告书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B0CF2E8BFB4F43E98F319AEFFBF9847A</vt:lpwstr>
  </property>
  <property fmtid="{D5CDD505-2E9C-101B-9397-08002B2CF9AE}" pid="3" name="KSOProductBuildVer">
    <vt:lpwstr>2052-11.1.0.12763</vt:lpwstr>
  </property>
</Properties>
</file>