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住区热环境设计报告书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XXX住宅小区</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烟台</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20190808</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S85F0E1B0F984201</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bookmarkStart w:id="58" w:name="_GoBack"/>
      <w:bookmarkEnd w:id="58"/>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_Toc796 </w:instrText>
      </w:r>
      <w:r>
        <w:rPr>
          <w:rFonts w:ascii="宋体" w:hAnsi="宋体"/>
          <w:bCs w:val="0"/>
          <w:caps/>
        </w:rPr>
        <w:fldChar w:fldCharType="separate"/>
      </w:r>
      <w:r>
        <w:rPr>
          <w:rFonts w:hint="eastAsia"/>
        </w:rPr>
        <w:t>1 住区概况</w:t>
      </w:r>
      <w:r>
        <w:tab/>
      </w:r>
      <w:r>
        <w:fldChar w:fldCharType="begin"/>
      </w:r>
      <w:r>
        <w:instrText xml:space="preserve"> PAGEREF _Toc796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_Toc10981 </w:instrText>
      </w:r>
      <w:r>
        <w:fldChar w:fldCharType="separate"/>
      </w:r>
      <w:r>
        <w:rPr>
          <w:rFonts w:hint="eastAsia"/>
        </w:rPr>
        <w:t>2 设计依据</w:t>
      </w:r>
      <w:r>
        <w:tab/>
      </w:r>
      <w:r>
        <w:fldChar w:fldCharType="begin"/>
      </w:r>
      <w:r>
        <w:instrText xml:space="preserve"> PAGEREF _Toc10981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_Toc4190 </w:instrText>
      </w:r>
      <w:r>
        <w:fldChar w:fldCharType="separate"/>
      </w:r>
      <w:r>
        <w:rPr>
          <w:rFonts w:hint="eastAsia"/>
        </w:rPr>
        <w:t>3 计算规定</w:t>
      </w:r>
      <w:r>
        <w:tab/>
      </w:r>
      <w:r>
        <w:fldChar w:fldCharType="begin"/>
      </w:r>
      <w:r>
        <w:instrText xml:space="preserve"> PAGEREF _Toc4190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_Toc14565 </w:instrText>
      </w:r>
      <w:r>
        <w:fldChar w:fldCharType="separate"/>
      </w:r>
      <w:r>
        <w:rPr>
          <w:rFonts w:hint="eastAsia"/>
          <w:lang w:val="en-GB"/>
        </w:rPr>
        <w:t xml:space="preserve">3.1 </w:t>
      </w:r>
      <w:r>
        <w:rPr>
          <w:rFonts w:hint="eastAsia"/>
        </w:rPr>
        <w:t>强制条文</w:t>
      </w:r>
      <w:r>
        <w:tab/>
      </w:r>
      <w:r>
        <w:fldChar w:fldCharType="begin"/>
      </w:r>
      <w:r>
        <w:instrText xml:space="preserve"> PAGEREF _Toc14565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_Toc9772 </w:instrText>
      </w:r>
      <w:r>
        <w:fldChar w:fldCharType="separate"/>
      </w:r>
      <w:r>
        <w:rPr>
          <w:rFonts w:hint="eastAsia"/>
          <w:lang w:val="en-GB"/>
        </w:rPr>
        <w:t xml:space="preserve">3.2 </w:t>
      </w:r>
      <w:r>
        <w:rPr>
          <w:rFonts w:hint="eastAsia"/>
        </w:rPr>
        <w:t>规定性设计</w:t>
      </w:r>
      <w:r>
        <w:tab/>
      </w:r>
      <w:r>
        <w:fldChar w:fldCharType="begin"/>
      </w:r>
      <w:r>
        <w:instrText xml:space="preserve"> PAGEREF _Toc9772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_Toc5294 </w:instrText>
      </w:r>
      <w:r>
        <w:fldChar w:fldCharType="separate"/>
      </w:r>
      <w:r>
        <w:rPr>
          <w:rFonts w:hint="eastAsia"/>
          <w:lang w:val="en-GB"/>
        </w:rPr>
        <w:t xml:space="preserve">3.3 </w:t>
      </w:r>
      <w:r>
        <w:rPr>
          <w:rFonts w:hint="eastAsia"/>
        </w:rPr>
        <w:t>评价性设计</w:t>
      </w:r>
      <w:r>
        <w:tab/>
      </w:r>
      <w:r>
        <w:fldChar w:fldCharType="begin"/>
      </w:r>
      <w:r>
        <w:instrText xml:space="preserve"> PAGEREF _Toc5294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_Toc9558 </w:instrText>
      </w:r>
      <w:r>
        <w:fldChar w:fldCharType="separate"/>
      </w:r>
      <w:r>
        <w:rPr>
          <w:rFonts w:hint="eastAsia"/>
        </w:rPr>
        <w:t>4 计算参数</w:t>
      </w:r>
      <w:r>
        <w:tab/>
      </w:r>
      <w:r>
        <w:fldChar w:fldCharType="begin"/>
      </w:r>
      <w:r>
        <w:instrText xml:space="preserve"> PAGEREF _Toc9558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_Toc8517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_Toc8517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_Toc7283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_Toc7283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_Toc13284 </w:instrText>
      </w:r>
      <w:r>
        <w:fldChar w:fldCharType="separate"/>
      </w:r>
      <w:r>
        <w:rPr>
          <w:rFonts w:hint="eastAsia"/>
        </w:rPr>
        <w:t>5 住区指标概览</w:t>
      </w:r>
      <w:r>
        <w:tab/>
      </w:r>
      <w:r>
        <w:fldChar w:fldCharType="begin"/>
      </w:r>
      <w:r>
        <w:instrText xml:space="preserve"> PAGEREF _Toc13284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_Toc4307 </w:instrText>
      </w:r>
      <w:r>
        <w:fldChar w:fldCharType="separate"/>
      </w:r>
      <w:r>
        <w:rPr>
          <w:rFonts w:hint="eastAsia"/>
        </w:rPr>
        <w:t>6 规定性设计指标</w:t>
      </w:r>
      <w:r>
        <w:tab/>
      </w:r>
      <w:r>
        <w:fldChar w:fldCharType="begin"/>
      </w:r>
      <w:r>
        <w:instrText xml:space="preserve"> PAGEREF _Toc4307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_Toc5551 </w:instrText>
      </w:r>
      <w:r>
        <w:fldChar w:fldCharType="separate"/>
      </w:r>
      <w:r>
        <w:rPr>
          <w:rFonts w:hint="eastAsia"/>
          <w:lang w:val="en-GB"/>
        </w:rPr>
        <w:t xml:space="preserve">6.1 </w:t>
      </w:r>
      <w:r>
        <w:rPr>
          <w:rFonts w:hint="eastAsia"/>
        </w:rPr>
        <w:t>平均迎风面积比</w:t>
      </w:r>
      <w:r>
        <w:tab/>
      </w:r>
      <w:r>
        <w:fldChar w:fldCharType="begin"/>
      </w:r>
      <w:r>
        <w:instrText xml:space="preserve"> PAGEREF _Toc5551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_Toc25553 </w:instrText>
      </w:r>
      <w:r>
        <w:fldChar w:fldCharType="separate"/>
      </w:r>
      <w:r>
        <w:rPr>
          <w:rFonts w:hint="eastAsia"/>
          <w:lang w:val="en-GB"/>
        </w:rPr>
        <w:t xml:space="preserve">6.2 </w:t>
      </w:r>
      <w:r>
        <w:rPr>
          <w:rFonts w:hint="eastAsia"/>
        </w:rPr>
        <w:t>活动场地遮阳覆盖率</w:t>
      </w:r>
      <w:r>
        <w:tab/>
      </w:r>
      <w:r>
        <w:fldChar w:fldCharType="begin"/>
      </w:r>
      <w:r>
        <w:instrText xml:space="preserve"> PAGEREF _Toc25553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_Toc5173 </w:instrText>
      </w:r>
      <w:r>
        <w:fldChar w:fldCharType="separate"/>
      </w:r>
      <w:r>
        <w:rPr>
          <w:rFonts w:hint="eastAsia"/>
          <w:lang w:val="en-GB"/>
        </w:rPr>
        <w:t xml:space="preserve">6.3 </w:t>
      </w:r>
      <w:r>
        <w:rPr>
          <w:rFonts w:hint="eastAsia"/>
        </w:rPr>
        <w:t>底层通风架空率</w:t>
      </w:r>
      <w:r>
        <w:tab/>
      </w:r>
      <w:r>
        <w:fldChar w:fldCharType="begin"/>
      </w:r>
      <w:r>
        <w:instrText xml:space="preserve"> PAGEREF _Toc5173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_Toc24543 </w:instrText>
      </w:r>
      <w:r>
        <w:fldChar w:fldCharType="separate"/>
      </w:r>
      <w:r>
        <w:rPr>
          <w:rFonts w:hint="eastAsia"/>
          <w:lang w:val="en-GB"/>
        </w:rPr>
        <w:t xml:space="preserve">6.4 </w:t>
      </w:r>
      <w:r>
        <w:rPr>
          <w:rFonts w:hint="eastAsia"/>
        </w:rPr>
        <w:t>绿化遮阳体叶面积指数</w:t>
      </w:r>
      <w:r>
        <w:tab/>
      </w:r>
      <w:r>
        <w:fldChar w:fldCharType="begin"/>
      </w:r>
      <w:r>
        <w:instrText xml:space="preserve"> PAGEREF _Toc24543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_Toc7894 </w:instrText>
      </w:r>
      <w:r>
        <w:fldChar w:fldCharType="separate"/>
      </w:r>
      <w:r>
        <w:rPr>
          <w:rFonts w:hint="eastAsia"/>
          <w:lang w:val="en-GB"/>
        </w:rPr>
        <w:t xml:space="preserve">6.5 </w:t>
      </w:r>
      <w:r>
        <w:rPr>
          <w:rFonts w:hint="eastAsia"/>
        </w:rPr>
        <w:t>渗透蒸发指标</w:t>
      </w:r>
      <w:r>
        <w:tab/>
      </w:r>
      <w:r>
        <w:fldChar w:fldCharType="begin"/>
      </w:r>
      <w:r>
        <w:instrText xml:space="preserve"> PAGEREF _Toc7894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_Toc4799 </w:instrText>
      </w:r>
      <w:r>
        <w:fldChar w:fldCharType="separate"/>
      </w:r>
      <w:r>
        <w:rPr>
          <w:rFonts w:hint="eastAsia"/>
          <w:lang w:val="en-GB"/>
        </w:rPr>
        <w:t xml:space="preserve">6.6 </w:t>
      </w:r>
      <w:r>
        <w:rPr>
          <w:rFonts w:hint="eastAsia"/>
        </w:rPr>
        <w:t>屋面绿化率</w:t>
      </w:r>
      <w:r>
        <w:tab/>
      </w:r>
      <w:r>
        <w:fldChar w:fldCharType="begin"/>
      </w:r>
      <w:r>
        <w:instrText xml:space="preserve"> PAGEREF _Toc4799 \h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_Toc8329 </w:instrText>
      </w:r>
      <w:r>
        <w:fldChar w:fldCharType="separate"/>
      </w:r>
      <w:r>
        <w:rPr>
          <w:rFonts w:hint="eastAsia"/>
        </w:rPr>
        <w:t>7 评价性设计</w:t>
      </w:r>
      <w:r>
        <w:tab/>
      </w:r>
      <w:r>
        <w:fldChar w:fldCharType="begin"/>
      </w:r>
      <w:r>
        <w:instrText xml:space="preserve"> PAGEREF _Toc8329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_Toc1739 </w:instrText>
      </w:r>
      <w:r>
        <w:fldChar w:fldCharType="separate"/>
      </w:r>
      <w:r>
        <w:rPr>
          <w:rFonts w:hint="eastAsia"/>
          <w:lang w:val="en-GB"/>
        </w:rPr>
        <w:t xml:space="preserve">7.1 </w:t>
      </w:r>
      <w:r>
        <w:rPr>
          <w:rFonts w:hint="eastAsia"/>
        </w:rPr>
        <w:t>平均热岛强度</w:t>
      </w:r>
      <w:r>
        <w:tab/>
      </w:r>
      <w:r>
        <w:fldChar w:fldCharType="begin"/>
      </w:r>
      <w:r>
        <w:instrText xml:space="preserve"> PAGEREF _Toc1739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_Toc147 </w:instrText>
      </w:r>
      <w:r>
        <w:fldChar w:fldCharType="separate"/>
      </w:r>
      <w:r>
        <w:rPr>
          <w:rFonts w:hint="eastAsia"/>
          <w:lang w:val="en-GB"/>
        </w:rPr>
        <w:t xml:space="preserve">7.2 </w:t>
      </w:r>
      <w:r>
        <w:rPr>
          <w:rFonts w:hint="eastAsia"/>
        </w:rPr>
        <w:t>湿球黑球温度</w:t>
      </w:r>
      <w:r>
        <w:tab/>
      </w:r>
      <w:r>
        <w:fldChar w:fldCharType="begin"/>
      </w:r>
      <w:r>
        <w:instrText xml:space="preserve"> PAGEREF _Toc147 \h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_Toc15165 </w:instrText>
      </w:r>
      <w:r>
        <w:fldChar w:fldCharType="separate"/>
      </w:r>
      <w:r>
        <w:rPr>
          <w:rFonts w:hint="eastAsia"/>
        </w:rPr>
        <w:t>8 结论</w:t>
      </w:r>
      <w:r>
        <w:tab/>
      </w:r>
      <w:r>
        <w:fldChar w:fldCharType="begin"/>
      </w:r>
      <w:r>
        <w:instrText xml:space="preserve"> PAGEREF _Toc15165 \h </w:instrText>
      </w:r>
      <w:r>
        <w:fldChar w:fldCharType="separate"/>
      </w:r>
      <w:r>
        <w:t>11</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796"/>
      <w:r>
        <w:rPr>
          <w:rFonts w:hint="eastAsia"/>
        </w:rPr>
        <w:t>住区概况</w:t>
      </w:r>
      <w:bookmarkEnd w:id="11"/>
    </w:p>
    <w:tbl>
      <w:tblPr>
        <w:tblStyle w:val="19"/>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XXX住宅小区</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烟台</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37.53</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121.40</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IIA</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西南偏南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4657725" cy="42576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4658214" cy="4258122"/>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0981"/>
      <w:bookmarkStart w:id="23" w:name="TitleFormat"/>
      <w:r>
        <w:rPr>
          <w:rFonts w:hint="eastAsia"/>
        </w:rPr>
        <w:t>设计依据</w:t>
      </w:r>
      <w:bookmarkEnd w:id="22"/>
    </w:p>
    <w:bookmarkEnd w:id="23"/>
    <w:p>
      <w:pPr>
        <w:widowControl w:val="0"/>
        <w:jc w:val="both"/>
        <w:rPr>
          <w:kern w:val="2"/>
          <w:szCs w:val="24"/>
          <w:lang w:val="en-US"/>
        </w:rPr>
      </w:pPr>
      <w:bookmarkStart w:id="24" w:name="计算依据"/>
      <w:bookmarkEnd w:id="24"/>
      <w:r>
        <w:rPr>
          <w:rFonts w:hint="eastAsia"/>
          <w:kern w:val="2"/>
          <w:szCs w:val="24"/>
          <w:lang w:val="en-US"/>
        </w:rPr>
        <w:t>《城市居住区热环境设计标准》（JGJ 286-2013）</w:t>
      </w:r>
    </w:p>
    <w:p>
      <w:pPr>
        <w:pStyle w:val="2"/>
      </w:pPr>
      <w:bookmarkStart w:id="25" w:name="_Toc4190"/>
      <w:r>
        <w:rPr>
          <w:rFonts w:hint="eastAsia"/>
        </w:rPr>
        <w:t>计算规定</w:t>
      </w:r>
      <w:bookmarkEnd w:id="25"/>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6" w:name="_Toc14565"/>
      <w:r>
        <w:rPr>
          <w:rFonts w:hint="eastAsia"/>
        </w:rPr>
        <w:t>强制条文</w:t>
      </w:r>
      <w:bookmarkEnd w:id="26"/>
    </w:p>
    <w:p>
      <w:pPr>
        <w:pStyle w:val="3"/>
        <w:spacing w:line="360" w:lineRule="auto"/>
        <w:ind w:firstLine="420"/>
        <w:rPr>
          <w:kern w:val="2"/>
          <w:szCs w:val="24"/>
          <w:lang w:val="en-US"/>
        </w:rPr>
      </w:pPr>
      <w:r>
        <w:rPr>
          <w:rFonts w:hint="eastAsia"/>
          <w:kern w:val="2"/>
          <w:szCs w:val="24"/>
          <w:lang w:val="en-US"/>
        </w:rPr>
        <w:t>（1）</w:t>
      </w:r>
      <w:r>
        <w:rPr>
          <w:kern w:val="2"/>
          <w:szCs w:val="24"/>
          <w:lang w:val="en-US"/>
        </w:rPr>
        <w:t>4</w:t>
      </w:r>
      <w:r>
        <w:rPr>
          <w:rFonts w:hint="eastAsia"/>
          <w:kern w:val="2"/>
          <w:szCs w:val="24"/>
          <w:lang w:val="en-US"/>
        </w:rPr>
        <w:t>.1.1</w:t>
      </w:r>
      <w:r>
        <w:rPr>
          <w:kern w:val="2"/>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2"/>
          <w:rFonts w:ascii="Arial" w:hAnsi="Arial" w:cs="Arial"/>
          <w:color w:val="333333"/>
          <w:sz w:val="21"/>
          <w:szCs w:val="21"/>
        </w:rPr>
      </w:pPr>
      <w:r>
        <w:rPr>
          <w:rStyle w:val="22"/>
          <w:rFonts w:ascii="Arial" w:hAnsi="Arial" w:cs="Arial"/>
          <w:color w:val="333333"/>
          <w:sz w:val="21"/>
          <w:szCs w:val="21"/>
        </w:rPr>
        <w:t>表4．1．1 居住区的夏季平均迎风面积比（ζ</w:t>
      </w:r>
      <w:r>
        <w:rPr>
          <w:rStyle w:val="22"/>
          <w:rFonts w:ascii="Arial" w:hAnsi="Arial" w:cs="Arial"/>
          <w:color w:val="333333"/>
          <w:sz w:val="21"/>
          <w:szCs w:val="21"/>
          <w:vertAlign w:val="subscript"/>
        </w:rPr>
        <w:t>s</w:t>
      </w:r>
      <w:r>
        <w:rPr>
          <w:rStyle w:val="22"/>
          <w:rFonts w:ascii="Arial" w:hAnsi="Arial" w:cs="Arial"/>
          <w:color w:val="333333"/>
          <w:sz w:val="21"/>
          <w:szCs w:val="21"/>
        </w:rPr>
        <w:t>）限值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2"/>
          <w:rFonts w:ascii="Arial" w:hAnsi="Arial" w:cs="Arial"/>
          <w:color w:val="333333"/>
          <w:sz w:val="21"/>
          <w:szCs w:val="21"/>
        </w:rPr>
      </w:pPr>
      <w:r>
        <w:rPr>
          <w:rStyle w:val="22"/>
          <w:rFonts w:ascii="Arial" w:hAnsi="Arial" w:cs="Arial"/>
          <w:color w:val="333333"/>
          <w:sz w:val="21"/>
          <w:szCs w:val="21"/>
        </w:rPr>
        <w:t>表4．2．1 居住区活动场地的遮阳覆盖率限值(％)</w:t>
      </w:r>
    </w:p>
    <w:tbl>
      <w:tblPr>
        <w:tblStyle w:val="20"/>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7" w:name="_Toc9772"/>
      <w:r>
        <w:rPr>
          <w:rFonts w:hint="eastAsia"/>
        </w:rPr>
        <w:t>规定性设计</w:t>
      </w:r>
      <w:bookmarkEnd w:id="27"/>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（1）4.1.4：在Ⅲ、Ⅳ、Ⅴ建筑气候区，当夏季主导风向上的建筑物迎风面宽度超过80m时，该建筑底层的通风架空率不应小于10％。</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（2）4.2.3：</w:t>
      </w:r>
      <w:r>
        <w:rPr>
          <w:rFonts w:ascii="Times New Roman" w:hAnsi="Times New Roman" w:cs="Times New Roman"/>
          <w:bCs/>
          <w:kern w:val="2"/>
        </w:rPr>
        <w:t>绿化遮阳体的叶面积指数不应小于3</w:t>
      </w:r>
      <w:r>
        <w:rPr>
          <w:rFonts w:hint="eastAsia" w:ascii="Times New Roman" w:hAnsi="Times New Roman" w:cs="Times New Roman"/>
          <w:bCs/>
          <w:kern w:val="2"/>
        </w:rPr>
        <w:t>.0</w:t>
      </w:r>
      <w:r>
        <w:rPr>
          <w:rFonts w:ascii="Times New Roman" w:hAnsi="Times New Roman" w:cs="Times New Roman"/>
          <w:bCs/>
          <w:kern w:val="2"/>
        </w:rPr>
        <w:t>。</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（3）4.3.1：居住区户外活动场地和人行道路地面应有雨水渗透与蒸发能力，渗透与蒸发指标不应低于表4.3.1的规定。</w:t>
      </w:r>
    </w:p>
    <w:p>
      <w:pPr>
        <w:pStyle w:val="18"/>
        <w:shd w:val="clear" w:color="auto" w:fill="FFFFFF"/>
        <w:spacing w:before="0" w:beforeAutospacing="0" w:after="0" w:afterAutospacing="0"/>
        <w:ind w:firstLine="420"/>
        <w:jc w:val="center"/>
        <w:rPr>
          <w:rStyle w:val="22"/>
          <w:rFonts w:ascii="Arial" w:hAnsi="Arial" w:cs="Arial"/>
          <w:color w:val="333333"/>
          <w:sz w:val="21"/>
          <w:szCs w:val="21"/>
        </w:rPr>
      </w:pPr>
      <w:r>
        <w:rPr>
          <w:rStyle w:val="22"/>
          <w:rFonts w:ascii="Arial" w:hAnsi="Arial" w:cs="Arial"/>
          <w:color w:val="333333"/>
          <w:sz w:val="21"/>
          <w:szCs w:val="21"/>
        </w:rPr>
        <w:t>表4．</w:t>
      </w:r>
      <w:r>
        <w:rPr>
          <w:rStyle w:val="22"/>
          <w:rFonts w:hint="eastAsia" w:ascii="Arial" w:hAnsi="Arial" w:cs="Arial"/>
          <w:color w:val="333333"/>
          <w:sz w:val="21"/>
          <w:szCs w:val="21"/>
        </w:rPr>
        <w:t>3</w:t>
      </w:r>
      <w:r>
        <w:rPr>
          <w:rStyle w:val="22"/>
          <w:rFonts w:ascii="Arial" w:hAnsi="Arial" w:cs="Arial"/>
          <w:color w:val="333333"/>
          <w:sz w:val="21"/>
          <w:szCs w:val="21"/>
        </w:rPr>
        <w:t>．1 居住区</w:t>
      </w:r>
      <w:r>
        <w:rPr>
          <w:rStyle w:val="22"/>
          <w:rFonts w:hint="eastAsia" w:ascii="Arial" w:hAnsi="Arial" w:cs="Arial"/>
          <w:color w:val="333333"/>
          <w:sz w:val="21"/>
          <w:szCs w:val="21"/>
        </w:rPr>
        <w:t>地面渗透蒸发指标</w:t>
      </w:r>
    </w:p>
    <w:tbl>
      <w:tblPr>
        <w:tblStyle w:val="19"/>
        <w:tblW w:w="9747" w:type="dxa"/>
        <w:tblInd w:w="0" w:type="dxa"/>
        <w:tblLayout w:type="autofit"/>
        <w:tblCellMar>
          <w:top w:w="0" w:type="dxa"/>
          <w:left w:w="0" w:type="dxa"/>
          <w:bottom w:w="0" w:type="dxa"/>
          <w:right w:w="0" w:type="dxa"/>
        </w:tblCellMar>
      </w:tblPr>
      <w:tblGrid>
        <w:gridCol w:w="1116"/>
        <w:gridCol w:w="1456"/>
        <w:gridCol w:w="1439"/>
        <w:gridCol w:w="1278"/>
        <w:gridCol w:w="1536"/>
        <w:gridCol w:w="1505"/>
        <w:gridCol w:w="1417"/>
      </w:tblGrid>
      <w:tr>
        <w:tblPrEx>
          <w:tblCellMar>
            <w:top w:w="0" w:type="dxa"/>
            <w:left w:w="0" w:type="dxa"/>
            <w:bottom w:w="0" w:type="dxa"/>
            <w:right w:w="0" w:type="dxa"/>
          </w:tblCellMar>
        </w:tblPrEx>
        <w:trPr>
          <w:trHeight w:val="403" w:hRule="atLeast"/>
        </w:trPr>
        <w:tc>
          <w:tcPr>
            <w:tcW w:w="111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w:t>
            </w:r>
          </w:p>
        </w:tc>
        <w:tc>
          <w:tcPr>
            <w:tcW w:w="4173"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I、II、VI、VII气候区</w:t>
            </w:r>
          </w:p>
        </w:tc>
        <w:tc>
          <w:tcPr>
            <w:tcW w:w="445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III、IV、V气候区</w:t>
            </w:r>
          </w:p>
        </w:tc>
      </w:tr>
      <w:tr>
        <w:tblPrEx>
          <w:tblCellMar>
            <w:top w:w="0" w:type="dxa"/>
            <w:left w:w="0" w:type="dxa"/>
            <w:bottom w:w="0" w:type="dxa"/>
            <w:right w:w="0" w:type="dxa"/>
          </w:tblCellMar>
        </w:tblPrEx>
        <w:trPr>
          <w:trHeight w:val="1108"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bCs/>
                <w:kern w:val="2"/>
                <w:szCs w:val="21"/>
                <w:lang w:val="en-US"/>
              </w:rPr>
            </w:pP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渗透面积比率β（%）</w:t>
            </w:r>
          </w:p>
        </w:tc>
        <w:tc>
          <w:tcPr>
            <w:tcW w:w="143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地面透水系数k（mm/s）</w:t>
            </w:r>
          </w:p>
        </w:tc>
        <w:tc>
          <w:tcPr>
            <w:tcW w:w="127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蒸发量m（kg/㎡·d）</w:t>
            </w: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渗透面积比率β（%）</w:t>
            </w:r>
          </w:p>
        </w:tc>
        <w:tc>
          <w:tcPr>
            <w:tcW w:w="1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地面透水系数k（mm/s）</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蒸发量m（kg/㎡·d）</w:t>
            </w: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广场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40</w:t>
            </w:r>
          </w:p>
        </w:tc>
        <w:tc>
          <w:tcPr>
            <w:tcW w:w="14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3</w:t>
            </w:r>
          </w:p>
        </w:tc>
        <w:tc>
          <w:tcPr>
            <w:tcW w:w="127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1.6</w:t>
            </w: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15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rFonts w:ascii="Arial" w:hAnsi="Arial" w:cs="Arial"/>
                <w:sz w:val="36"/>
                <w:szCs w:val="36"/>
                <w:lang w:val="en-US"/>
              </w:rPr>
            </w:pPr>
            <w:r>
              <w:rPr>
                <w:rFonts w:hint="eastAsia" w:ascii="微软雅黑" w:hAnsi="微软雅黑" w:cs="Arial" w:eastAsiaTheme="minorEastAsia"/>
                <w:color w:val="000000" w:themeColor="text1"/>
                <w:kern w:val="2"/>
                <w:sz w:val="24"/>
                <w:szCs w:val="24"/>
                <w:lang w:val="en-US"/>
                <w14:textFill>
                  <w14:solidFill>
                    <w14:schemeClr w14:val="tx1"/>
                  </w14:solidFill>
                </w14:textFill>
              </w:rPr>
              <w:t>3</w:t>
            </w:r>
          </w:p>
        </w:tc>
        <w:tc>
          <w:tcPr>
            <w:tcW w:w="141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1.3</w:t>
            </w: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游憩场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停车场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70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人行道</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bl>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（4）居住区内建筑屋面的绿化面积不应低于可绿化屋面面积的50％。</w:t>
      </w:r>
    </w:p>
    <w:p>
      <w:pPr>
        <w:pStyle w:val="3"/>
        <w:ind w:firstLine="199" w:firstLineChars="95"/>
        <w:rPr>
          <w:lang w:val="en-US"/>
        </w:rPr>
      </w:pPr>
      <w:r>
        <w:rPr>
          <w:rFonts w:hint="eastAsia"/>
          <w:lang w:val="en-US"/>
        </w:rPr>
        <w:t>当以上4条有任意一条不能满足时候，需要进行评价性设计。</w:t>
      </w:r>
    </w:p>
    <w:p>
      <w:pPr>
        <w:pStyle w:val="4"/>
      </w:pPr>
      <w:bookmarkStart w:id="28" w:name="_Toc5294"/>
      <w:r>
        <w:rPr>
          <w:rFonts w:hint="eastAsia"/>
        </w:rPr>
        <w:t>评价性设计</w:t>
      </w:r>
      <w:bookmarkEnd w:id="28"/>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9" w:name="_Toc9558"/>
      <w:r>
        <w:rPr>
          <w:rFonts w:hint="eastAsia"/>
        </w:rPr>
        <w:t>计算参数</w:t>
      </w:r>
      <w:bookmarkEnd w:id="29"/>
    </w:p>
    <w:p>
      <w:pPr>
        <w:pStyle w:val="4"/>
      </w:pPr>
      <w:bookmarkStart w:id="30" w:name="_Toc8517"/>
      <w:r>
        <w:rPr>
          <w:rFonts w:hint="eastAsia"/>
        </w:rPr>
        <w:t>典型气象日气象参数</w:t>
      </w:r>
      <w:bookmarkEnd w:id="3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29.3</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3.7</w:t>
            </w:r>
          </w:p>
        </w:tc>
        <w:tc>
          <w:tcPr>
            <w:vMerge w:val="restart"/>
            <w:vAlign w:val="center"/>
          </w:tcPr>
          <w:p>
            <w:pPr>
              <w:jc w:val="center"/>
            </w:pPr>
            <w:r>
              <w:t>西南偏南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29.0</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2</w:t>
            </w:r>
          </w:p>
        </w:tc>
        <w:tc>
          <w:tcPr>
            <w:vAlign w:val="center"/>
          </w:tcPr>
          <w:p>
            <w:pPr>
              <w:jc w:val="center"/>
            </w:pPr>
            <w:r>
              <w:t>28.8</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28.8</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28.9</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29.2</w:t>
            </w:r>
          </w:p>
        </w:tc>
        <w:tc>
          <w:tcPr>
            <w:vAlign w:val="center"/>
          </w:tcPr>
          <w:p>
            <w:pPr>
              <w:jc w:val="center"/>
            </w:pPr>
            <w:r>
              <w:t>67</w:t>
            </w:r>
          </w:p>
        </w:tc>
        <w:tc>
          <w:tcPr>
            <w:vAlign w:val="center"/>
          </w:tcPr>
          <w:p>
            <w:pPr>
              <w:jc w:val="center"/>
            </w:pPr>
            <w:r>
              <w:t>19.44</w:t>
            </w:r>
          </w:p>
        </w:tc>
        <w:tc>
          <w:tcPr>
            <w:vAlign w:val="center"/>
          </w:tcPr>
          <w:p>
            <w:pPr>
              <w:jc w:val="center"/>
            </w:pPr>
            <w:r>
              <w:t>19.44</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6</w:t>
            </w:r>
          </w:p>
        </w:tc>
        <w:tc>
          <w:tcPr>
            <w:vAlign w:val="center"/>
          </w:tcPr>
          <w:p>
            <w:pPr>
              <w:jc w:val="center"/>
            </w:pPr>
            <w:r>
              <w:t>29.7</w:t>
            </w:r>
          </w:p>
        </w:tc>
        <w:tc>
          <w:tcPr>
            <w:vAlign w:val="center"/>
          </w:tcPr>
          <w:p>
            <w:pPr>
              <w:jc w:val="center"/>
            </w:pPr>
            <w:r>
              <w:t>66</w:t>
            </w:r>
          </w:p>
        </w:tc>
        <w:tc>
          <w:tcPr>
            <w:vAlign w:val="center"/>
          </w:tcPr>
          <w:p>
            <w:pPr>
              <w:jc w:val="center"/>
            </w:pPr>
            <w:r>
              <w:t>105.56</w:t>
            </w:r>
          </w:p>
        </w:tc>
        <w:tc>
          <w:tcPr>
            <w:vAlign w:val="center"/>
          </w:tcPr>
          <w:p>
            <w:pPr>
              <w:jc w:val="center"/>
            </w:pPr>
            <w:r>
              <w:t>77.78</w:t>
            </w:r>
          </w:p>
        </w:tc>
        <w:tc>
          <w:tcPr>
            <w:vAlign w:val="center"/>
          </w:tcPr>
          <w:p>
            <w:pPr>
              <w:jc w:val="center"/>
            </w:pPr>
            <w:r>
              <w:t>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30.4</w:t>
            </w:r>
          </w:p>
        </w:tc>
        <w:tc>
          <w:tcPr>
            <w:vAlign w:val="center"/>
          </w:tcPr>
          <w:p>
            <w:pPr>
              <w:jc w:val="center"/>
            </w:pPr>
            <w:r>
              <w:t>64</w:t>
            </w:r>
          </w:p>
        </w:tc>
        <w:tc>
          <w:tcPr>
            <w:vAlign w:val="center"/>
          </w:tcPr>
          <w:p>
            <w:pPr>
              <w:jc w:val="center"/>
            </w:pPr>
            <w:r>
              <w:t>211.11</w:t>
            </w:r>
          </w:p>
        </w:tc>
        <w:tc>
          <w:tcPr>
            <w:vAlign w:val="center"/>
          </w:tcPr>
          <w:p>
            <w:pPr>
              <w:jc w:val="center"/>
            </w:pPr>
            <w:r>
              <w:t>138.89</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31.3</w:t>
            </w:r>
          </w:p>
        </w:tc>
        <w:tc>
          <w:tcPr>
            <w:vAlign w:val="center"/>
          </w:tcPr>
          <w:p>
            <w:pPr>
              <w:jc w:val="center"/>
            </w:pPr>
            <w:r>
              <w:t>62</w:t>
            </w:r>
          </w:p>
        </w:tc>
        <w:tc>
          <w:tcPr>
            <w:vAlign w:val="center"/>
          </w:tcPr>
          <w:p>
            <w:pPr>
              <w:jc w:val="center"/>
            </w:pPr>
            <w:r>
              <w:t>319.44</w:t>
            </w:r>
          </w:p>
        </w:tc>
        <w:tc>
          <w:tcPr>
            <w:vAlign w:val="center"/>
          </w:tcPr>
          <w:p>
            <w:pPr>
              <w:jc w:val="center"/>
            </w:pPr>
            <w:r>
              <w:t>191.67</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32.2</w:t>
            </w:r>
          </w:p>
        </w:tc>
        <w:tc>
          <w:tcPr>
            <w:vAlign w:val="center"/>
          </w:tcPr>
          <w:p>
            <w:pPr>
              <w:jc w:val="center"/>
            </w:pPr>
            <w:r>
              <w:t>60</w:t>
            </w:r>
          </w:p>
        </w:tc>
        <w:tc>
          <w:tcPr>
            <w:vAlign w:val="center"/>
          </w:tcPr>
          <w:p>
            <w:pPr>
              <w:jc w:val="center"/>
            </w:pPr>
            <w:r>
              <w:t>425.00</w:t>
            </w:r>
          </w:p>
        </w:tc>
        <w:tc>
          <w:tcPr>
            <w:vAlign w:val="center"/>
          </w:tcPr>
          <w:p>
            <w:pPr>
              <w:jc w:val="center"/>
            </w:pPr>
            <w:r>
              <w:t>236.11</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10</w:t>
            </w:r>
          </w:p>
        </w:tc>
        <w:tc>
          <w:tcPr>
            <w:vAlign w:val="center"/>
          </w:tcPr>
          <w:p>
            <w:pPr>
              <w:jc w:val="center"/>
            </w:pPr>
            <w:r>
              <w:t>33.1</w:t>
            </w:r>
          </w:p>
        </w:tc>
        <w:tc>
          <w:tcPr>
            <w:vAlign w:val="center"/>
          </w:tcPr>
          <w:p>
            <w:pPr>
              <w:jc w:val="center"/>
            </w:pPr>
            <w:r>
              <w:t>57</w:t>
            </w:r>
          </w:p>
        </w:tc>
        <w:tc>
          <w:tcPr>
            <w:vAlign w:val="center"/>
          </w:tcPr>
          <w:p>
            <w:pPr>
              <w:jc w:val="center"/>
            </w:pPr>
            <w:r>
              <w:t>508.33</w:t>
            </w:r>
          </w:p>
        </w:tc>
        <w:tc>
          <w:tcPr>
            <w:vAlign w:val="center"/>
          </w:tcPr>
          <w:p>
            <w:pPr>
              <w:jc w:val="center"/>
            </w:pPr>
            <w:r>
              <w:t>269.44</w:t>
            </w:r>
          </w:p>
        </w:tc>
        <w:tc>
          <w:tcPr>
            <w:vAlign w:val="center"/>
          </w:tcPr>
          <w:p>
            <w:pPr>
              <w:jc w:val="center"/>
            </w:pPr>
            <w:r>
              <w:t>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33.9</w:t>
            </w:r>
          </w:p>
        </w:tc>
        <w:tc>
          <w:tcPr>
            <w:vAlign w:val="center"/>
          </w:tcPr>
          <w:p>
            <w:pPr>
              <w:jc w:val="center"/>
            </w:pPr>
            <w:r>
              <w:t>56</w:t>
            </w:r>
          </w:p>
        </w:tc>
        <w:tc>
          <w:tcPr>
            <w:vAlign w:val="center"/>
          </w:tcPr>
          <w:p>
            <w:pPr>
              <w:jc w:val="center"/>
            </w:pPr>
            <w:r>
              <w:t>561.11</w:t>
            </w:r>
          </w:p>
        </w:tc>
        <w:tc>
          <w:tcPr>
            <w:vAlign w:val="center"/>
          </w:tcPr>
          <w:p>
            <w:pPr>
              <w:jc w:val="center"/>
            </w:pPr>
            <w:r>
              <w:t>288.89</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34.5</w:t>
            </w:r>
          </w:p>
        </w:tc>
        <w:tc>
          <w:tcPr>
            <w:vAlign w:val="center"/>
          </w:tcPr>
          <w:p>
            <w:pPr>
              <w:jc w:val="center"/>
            </w:pPr>
            <w:r>
              <w:t>54</w:t>
            </w:r>
          </w:p>
        </w:tc>
        <w:tc>
          <w:tcPr>
            <w:vAlign w:val="center"/>
          </w:tcPr>
          <w:p>
            <w:pPr>
              <w:jc w:val="center"/>
            </w:pPr>
            <w:r>
              <w:t>575.00</w:t>
            </w:r>
          </w:p>
        </w:tc>
        <w:tc>
          <w:tcPr>
            <w:vAlign w:val="center"/>
          </w:tcPr>
          <w:p>
            <w:pPr>
              <w:jc w:val="center"/>
            </w:pPr>
            <w:r>
              <w:t>294.44</w:t>
            </w:r>
          </w:p>
        </w:tc>
        <w:tc>
          <w:tcPr>
            <w:vAlign w:val="center"/>
          </w:tcPr>
          <w:p>
            <w:pPr>
              <w:jc w:val="center"/>
            </w:pPr>
            <w:r>
              <w:t>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34.8</w:t>
            </w:r>
          </w:p>
        </w:tc>
        <w:tc>
          <w:tcPr>
            <w:vAlign w:val="center"/>
          </w:tcPr>
          <w:p>
            <w:pPr>
              <w:jc w:val="center"/>
            </w:pPr>
            <w:r>
              <w:t>54</w:t>
            </w:r>
          </w:p>
        </w:tc>
        <w:tc>
          <w:tcPr>
            <w:vAlign w:val="center"/>
          </w:tcPr>
          <w:p>
            <w:pPr>
              <w:jc w:val="center"/>
            </w:pPr>
            <w:r>
              <w:t>547.22</w:t>
            </w:r>
          </w:p>
        </w:tc>
        <w:tc>
          <w:tcPr>
            <w:vAlign w:val="center"/>
          </w:tcPr>
          <w:p>
            <w:pPr>
              <w:jc w:val="center"/>
            </w:pPr>
            <w:r>
              <w:t>286.11</w:t>
            </w:r>
          </w:p>
        </w:tc>
        <w:tc>
          <w:tcPr>
            <w:vAlign w:val="center"/>
          </w:tcPr>
          <w:p>
            <w:pPr>
              <w:jc w:val="center"/>
            </w:pPr>
            <w:r>
              <w:t>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14</w:t>
            </w:r>
          </w:p>
        </w:tc>
        <w:tc>
          <w:tcPr>
            <w:vAlign w:val="center"/>
          </w:tcPr>
          <w:p>
            <w:pPr>
              <w:jc w:val="center"/>
            </w:pPr>
            <w:r>
              <w:t>34.7</w:t>
            </w:r>
          </w:p>
        </w:tc>
        <w:tc>
          <w:tcPr>
            <w:vAlign w:val="center"/>
          </w:tcPr>
          <w:p>
            <w:pPr>
              <w:jc w:val="center"/>
            </w:pPr>
            <w:r>
              <w:t>54</w:t>
            </w:r>
          </w:p>
        </w:tc>
        <w:tc>
          <w:tcPr>
            <w:vAlign w:val="center"/>
          </w:tcPr>
          <w:p>
            <w:pPr>
              <w:jc w:val="center"/>
            </w:pPr>
            <w:r>
              <w:t>480.56</w:t>
            </w:r>
          </w:p>
        </w:tc>
        <w:tc>
          <w:tcPr>
            <w:vAlign w:val="center"/>
          </w:tcPr>
          <w:p>
            <w:pPr>
              <w:jc w:val="center"/>
            </w:pPr>
            <w:r>
              <w:t>258.33</w:t>
            </w:r>
          </w:p>
        </w:tc>
        <w:tc>
          <w:tcPr>
            <w:vAlign w:val="center"/>
          </w:tcPr>
          <w:p>
            <w:pPr>
              <w:jc w:val="center"/>
            </w:pPr>
            <w:r>
              <w:t>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34.2</w:t>
            </w:r>
          </w:p>
        </w:tc>
        <w:tc>
          <w:tcPr>
            <w:vAlign w:val="center"/>
          </w:tcPr>
          <w:p>
            <w:pPr>
              <w:jc w:val="center"/>
            </w:pPr>
            <w:r>
              <w:t>56</w:t>
            </w:r>
          </w:p>
        </w:tc>
        <w:tc>
          <w:tcPr>
            <w:vAlign w:val="center"/>
          </w:tcPr>
          <w:p>
            <w:pPr>
              <w:jc w:val="center"/>
            </w:pPr>
            <w:r>
              <w:t>386.11</w:t>
            </w:r>
          </w:p>
        </w:tc>
        <w:tc>
          <w:tcPr>
            <w:vAlign w:val="center"/>
          </w:tcPr>
          <w:p>
            <w:pPr>
              <w:jc w:val="center"/>
            </w:pPr>
            <w:r>
              <w:t>216.67</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33.6</w:t>
            </w:r>
          </w:p>
        </w:tc>
        <w:tc>
          <w:tcPr>
            <w:vAlign w:val="center"/>
          </w:tcPr>
          <w:p>
            <w:pPr>
              <w:jc w:val="center"/>
            </w:pPr>
            <w:r>
              <w:t>58</w:t>
            </w:r>
          </w:p>
        </w:tc>
        <w:tc>
          <w:tcPr>
            <w:vAlign w:val="center"/>
          </w:tcPr>
          <w:p>
            <w:pPr>
              <w:jc w:val="center"/>
            </w:pPr>
            <w:r>
              <w:t>277.78</w:t>
            </w:r>
          </w:p>
        </w:tc>
        <w:tc>
          <w:tcPr>
            <w:vAlign w:val="center"/>
          </w:tcPr>
          <w:p>
            <w:pPr>
              <w:jc w:val="center"/>
            </w:pPr>
            <w:r>
              <w:t>166.67</w:t>
            </w:r>
          </w:p>
        </w:tc>
        <w:tc>
          <w:tcPr>
            <w:vAlign w:val="center"/>
          </w:tcPr>
          <w:p>
            <w:pPr>
              <w:jc w:val="center"/>
            </w:pPr>
            <w:r>
              <w:t>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32.7</w:t>
            </w:r>
          </w:p>
        </w:tc>
        <w:tc>
          <w:tcPr>
            <w:vAlign w:val="center"/>
          </w:tcPr>
          <w:p>
            <w:pPr>
              <w:jc w:val="center"/>
            </w:pPr>
            <w:r>
              <w:t>60</w:t>
            </w:r>
          </w:p>
        </w:tc>
        <w:tc>
          <w:tcPr>
            <w:vAlign w:val="center"/>
          </w:tcPr>
          <w:p>
            <w:pPr>
              <w:jc w:val="center"/>
            </w:pPr>
            <w:r>
              <w:t>169.44</w:t>
            </w:r>
          </w:p>
        </w:tc>
        <w:tc>
          <w:tcPr>
            <w:vAlign w:val="center"/>
          </w:tcPr>
          <w:p>
            <w:pPr>
              <w:jc w:val="center"/>
            </w:pPr>
            <w:r>
              <w:t>111.11</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18</w:t>
            </w:r>
          </w:p>
        </w:tc>
        <w:tc>
          <w:tcPr>
            <w:vAlign w:val="center"/>
          </w:tcPr>
          <w:p>
            <w:pPr>
              <w:jc w:val="center"/>
            </w:pPr>
            <w:r>
              <w:t>31.9</w:t>
            </w:r>
          </w:p>
        </w:tc>
        <w:tc>
          <w:tcPr>
            <w:vAlign w:val="center"/>
          </w:tcPr>
          <w:p>
            <w:pPr>
              <w:jc w:val="center"/>
            </w:pPr>
            <w:r>
              <w:t>62</w:t>
            </w:r>
          </w:p>
        </w:tc>
        <w:tc>
          <w:tcPr>
            <w:vAlign w:val="center"/>
          </w:tcPr>
          <w:p>
            <w:pPr>
              <w:jc w:val="center"/>
            </w:pPr>
            <w:r>
              <w:t>72.22</w:t>
            </w:r>
          </w:p>
        </w:tc>
        <w:tc>
          <w:tcPr>
            <w:vAlign w:val="center"/>
          </w:tcPr>
          <w:p>
            <w:pPr>
              <w:jc w:val="center"/>
            </w:pPr>
            <w:r>
              <w:t>50.00</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31.1</w:t>
            </w:r>
          </w:p>
        </w:tc>
        <w:tc>
          <w:tcPr>
            <w:vAlign w:val="center"/>
          </w:tcPr>
          <w:p>
            <w:pPr>
              <w:jc w:val="center"/>
            </w:pPr>
            <w:r>
              <w:t>64</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30.4</w:t>
            </w:r>
          </w:p>
        </w:tc>
        <w:tc>
          <w:tcPr>
            <w:vAlign w:val="center"/>
          </w:tcPr>
          <w:p>
            <w:pPr>
              <w:jc w:val="center"/>
            </w:pPr>
            <w:r>
              <w:t>66</w:t>
            </w:r>
          </w:p>
        </w:tc>
        <w:tc>
          <w:tcPr>
            <w:vAlign w:val="center"/>
          </w:tcPr>
          <w:p>
            <w:pPr>
              <w:jc w:val="center"/>
            </w:pPr>
            <w:r>
              <w:t>0.00</w:t>
            </w:r>
          </w:p>
        </w:tc>
        <w:tc>
          <w:tcPr>
            <w:vAlign w:val="center"/>
          </w:tcPr>
          <w:p>
            <w:pPr>
              <w:jc w:val="center"/>
            </w:pPr>
            <w:r>
              <w:t>0.00</w:t>
            </w:r>
          </w:p>
        </w:tc>
        <w:tc>
          <w:tcPr>
            <w:vAlign w:val="center"/>
          </w:tcPr>
          <w:p>
            <w:pPr>
              <w:jc w:val="center"/>
            </w:pPr>
            <w:r>
              <w:t>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29.9</w:t>
            </w:r>
          </w:p>
        </w:tc>
        <w:tc>
          <w:tcPr>
            <w:vAlign w:val="center"/>
          </w:tcPr>
          <w:p>
            <w:pPr>
              <w:jc w:val="center"/>
            </w:pPr>
            <w:r>
              <w:t>67</w:t>
            </w:r>
          </w:p>
        </w:tc>
        <w:tc>
          <w:tcPr>
            <w:vAlign w:val="center"/>
          </w:tcPr>
          <w:p>
            <w:pPr>
              <w:jc w:val="center"/>
            </w:pPr>
            <w:r>
              <w:t>0.00</w:t>
            </w:r>
          </w:p>
        </w:tc>
        <w:tc>
          <w:tcPr>
            <w:vAlign w:val="center"/>
          </w:tcPr>
          <w:p>
            <w:pPr>
              <w:jc w:val="center"/>
            </w:pPr>
            <w:r>
              <w:t>0.00</w:t>
            </w:r>
          </w:p>
        </w:tc>
        <w:tc>
          <w:tcPr>
            <w:vAlign w:val="center"/>
          </w:tcPr>
          <w:p>
            <w:pPr>
              <w:jc w:val="center"/>
            </w:pPr>
            <w:r>
              <w:t>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22</w:t>
            </w:r>
          </w:p>
        </w:tc>
        <w:tc>
          <w:tcPr>
            <w:vAlign w:val="center"/>
          </w:tcPr>
          <w:p>
            <w:pPr>
              <w:jc w:val="center"/>
            </w:pPr>
            <w:r>
              <w:t>29.5</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29.2</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31.3</w:t>
            </w:r>
          </w:p>
        </w:tc>
        <w:tc>
          <w:tcPr>
            <w:vAlign w:val="center"/>
          </w:tcPr>
          <w:p>
            <w:pPr>
              <w:jc w:val="center"/>
            </w:pPr>
            <w:r>
              <w:t>63</w:t>
            </w:r>
          </w:p>
        </w:tc>
        <w:tc>
          <w:tcPr>
            <w:vAlign w:val="center"/>
          </w:tcPr>
          <w:p>
            <w:pPr>
              <w:jc w:val="center"/>
            </w:pPr>
            <w:r>
              <w:t>194.10</w:t>
            </w:r>
          </w:p>
        </w:tc>
        <w:tc>
          <w:tcPr>
            <w:vAlign w:val="center"/>
          </w:tcPr>
          <w:p>
            <w:pPr>
              <w:jc w:val="center"/>
            </w:pPr>
            <w:r>
              <w:t>108.56</w:t>
            </w:r>
          </w:p>
        </w:tc>
        <w:tc>
          <w:tcPr>
            <w:vAlign w:val="center"/>
          </w:tcPr>
          <w:p>
            <w:pPr>
              <w:jc w:val="center"/>
            </w:pPr>
            <w:r>
              <w:t>3.2</w:t>
            </w:r>
          </w:p>
        </w:tc>
        <w:tc>
          <w:tcPr>
            <w:vMerge w:val="continue"/>
            <w:vAlign w:val="center"/>
          </w:tcPr>
          <w:p>
            <w:pPr>
              <w:jc w:val="center"/>
            </w:pPr>
          </w:p>
        </w:tc>
      </w:tr>
    </w:tbl>
    <w:p>
      <w:pPr>
        <w:pStyle w:val="3"/>
        <w:ind w:firstLine="0" w:firstLineChars="0"/>
        <w:rPr>
          <w:lang w:val="en-US"/>
        </w:rPr>
      </w:pPr>
      <w:bookmarkStart w:id="31" w:name="气象参数"/>
      <w:bookmarkEnd w:id="31"/>
    </w:p>
    <w:p>
      <w:pPr>
        <w:pStyle w:val="4"/>
      </w:pPr>
      <w:bookmarkStart w:id="32" w:name="_Toc7283"/>
      <w:r>
        <w:rPr>
          <w:rFonts w:hint="eastAsia"/>
        </w:rPr>
        <w:t>渗透面夏季逐时蒸发量</w:t>
      </w:r>
      <w:bookmarkEnd w:id="3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pPr>
        <w:pStyle w:val="3"/>
        <w:ind w:firstLine="0" w:firstLineChars="0"/>
        <w:rPr>
          <w:lang w:val="en-US"/>
        </w:rPr>
      </w:pPr>
      <w:bookmarkStart w:id="33" w:name="蒸发量参数"/>
      <w:bookmarkEnd w:id="33"/>
    </w:p>
    <w:p>
      <w:pPr>
        <w:pStyle w:val="2"/>
      </w:pPr>
      <w:bookmarkStart w:id="34" w:name="_Toc13284"/>
      <w:r>
        <w:rPr>
          <w:rFonts w:hint="eastAsia"/>
        </w:rPr>
        <w:t>住区指标概览</w:t>
      </w:r>
      <w:bookmarkEnd w:id="34"/>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13407.05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室外面积(㎡)</w:t>
            </w:r>
          </w:p>
        </w:tc>
        <w:tc>
          <w:tcPr>
            <w:vAlign w:val="center"/>
          </w:tcPr>
          <w:p>
            <w:r>
              <w:t>10689.30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3007.53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1276.21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1109.70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水面面积(㎡)</w:t>
            </w:r>
          </w:p>
        </w:tc>
        <w:tc>
          <w:tcPr>
            <w:vAlign w:val="center"/>
          </w:tcPr>
          <w:p>
            <w:r>
              <w:t>93.45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2687.93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6236.00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渗透型硬地面积(㎡)</w:t>
            </w:r>
          </w:p>
        </w:tc>
        <w:tc>
          <w:tcPr>
            <w:vAlign w:val="center"/>
          </w:tcPr>
          <w:p>
            <w:r>
              <w:t>4483.51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CTTC居住区热时间常数(h)</w:t>
            </w:r>
          </w:p>
        </w:tc>
        <w:tc>
          <w:tcPr>
            <w:vAlign w:val="center"/>
          </w:tcPr>
          <w:p>
            <w:r>
              <w:t>10.43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通风架空率(%)</w:t>
            </w:r>
          </w:p>
        </w:tc>
        <w:tc>
          <w:tcPr>
            <w:vAlign w:val="center"/>
          </w:tcPr>
          <w:p>
            <w:r>
              <w:t>4</w:t>
            </w:r>
          </w:p>
        </w:tc>
      </w:tr>
    </w:tbl>
    <w:p>
      <w:pPr>
        <w:pStyle w:val="3"/>
        <w:ind w:firstLine="420"/>
        <w:rPr>
          <w:lang w:val="en-US"/>
        </w:rPr>
      </w:pPr>
      <w:bookmarkStart w:id="35" w:name="住区指标概览"/>
      <w:bookmarkEnd w:id="35"/>
    </w:p>
    <w:p>
      <w:pPr>
        <w:pStyle w:val="2"/>
      </w:pPr>
      <w:bookmarkStart w:id="36" w:name="_Toc4307"/>
      <w:r>
        <w:rPr>
          <w:rFonts w:hint="eastAsia"/>
        </w:rPr>
        <w:t>规定性设计指标</w:t>
      </w:r>
      <w:bookmarkEnd w:id="36"/>
    </w:p>
    <w:p>
      <w:pPr>
        <w:pStyle w:val="4"/>
      </w:pPr>
      <w:bookmarkStart w:id="37" w:name="_Toc5551"/>
      <w:r>
        <w:rPr>
          <w:rFonts w:hint="eastAsia"/>
        </w:rPr>
        <w:t>平均迎风面积比</w:t>
      </w:r>
      <w:bookmarkEnd w:id="37"/>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迎风面积(㎡)</w:t>
            </w:r>
          </w:p>
        </w:tc>
        <w:tc>
          <w:tcPr>
            <w:shd w:val="clear" w:color="auto" w:fill="E6E6E6"/>
            <w:vAlign w:val="center"/>
          </w:tcPr>
          <w:p>
            <w:pPr>
              <w:jc w:val="center"/>
            </w:pPr>
            <w:r>
              <w:t>最大可能</w:t>
            </w:r>
            <w:r>
              <w:br w:type="textWrapping"/>
            </w:r>
            <w:r>
              <w:t>迎风面积(㎡)</w:t>
            </w:r>
          </w:p>
        </w:tc>
        <w:tc>
          <w:tcPr>
            <w:shd w:val="clear" w:color="auto" w:fill="E6E6E6"/>
            <w:vAlign w:val="center"/>
          </w:tcPr>
          <w:p>
            <w:pPr>
              <w:jc w:val="center"/>
            </w:pPr>
            <w:r>
              <w:t>最大可能</w:t>
            </w:r>
            <w:r>
              <w:br w:type="textWrapping"/>
            </w:r>
            <w:r>
              <w:t>迎风方向(°)</w:t>
            </w:r>
          </w:p>
        </w:tc>
        <w:tc>
          <w:tcPr>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w:t>
            </w:r>
          </w:p>
        </w:tc>
        <w:tc>
          <w:tcPr>
            <w:vAlign w:val="center"/>
          </w:tcPr>
          <w:p>
            <w:r>
              <w:t>1049.75</w:t>
            </w:r>
          </w:p>
        </w:tc>
        <w:tc>
          <w:tcPr>
            <w:vAlign w:val="center"/>
          </w:tcPr>
          <w:p>
            <w:r>
              <w:t>1076.17</w:t>
            </w:r>
          </w:p>
        </w:tc>
        <w:tc>
          <w:tcPr>
            <w:vAlign w:val="center"/>
          </w:tcPr>
          <w:p>
            <w:r>
              <w:t>120.00</w:t>
            </w:r>
          </w:p>
        </w:tc>
        <w:tc>
          <w:tcPr>
            <w:vAlign w:val="center"/>
          </w:tcPr>
          <w:p>
            <w:r>
              <w:t>0.9754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gridSpan w:val="4"/>
            <w:vAlign w:val="center"/>
          </w:tcPr>
          <w:p>
            <w:r>
              <w:rPr>
                <w:b/>
                <w:color w:val="FF0000"/>
              </w:rPr>
              <w:t>0.975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依据</w:t>
            </w:r>
          </w:p>
        </w:tc>
        <w:tc>
          <w:tcPr>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color w:val="FF0000"/>
              </w:rPr>
              <w:t>不满足</w:t>
            </w:r>
          </w:p>
        </w:tc>
      </w:tr>
    </w:tbl>
    <w:p>
      <w:pPr>
        <w:pStyle w:val="3"/>
        <w:ind w:firstLine="420"/>
        <w:rPr>
          <w:lang w:val="en-US"/>
        </w:rPr>
      </w:pPr>
      <w:bookmarkStart w:id="38" w:name="平均迎风面积比"/>
      <w:bookmarkEnd w:id="38"/>
    </w:p>
    <w:p>
      <w:pPr>
        <w:pStyle w:val="4"/>
      </w:pPr>
      <w:bookmarkStart w:id="39" w:name="_Toc25553"/>
      <w:r>
        <w:rPr>
          <w:rFonts w:hint="eastAsia"/>
        </w:rPr>
        <w:t>活动场地遮阳覆盖率</w:t>
      </w:r>
      <w:bookmarkEnd w:id="3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场地</w:t>
            </w:r>
          </w:p>
        </w:tc>
        <w:tc>
          <w:tcPr>
            <w:shd w:val="clear" w:color="auto" w:fill="E6E6E6"/>
            <w:vAlign w:val="center"/>
          </w:tcPr>
          <w:p>
            <w:pPr>
              <w:jc w:val="center"/>
            </w:pPr>
            <w:r>
              <w:t>遮阳面积(㎡)</w:t>
            </w:r>
          </w:p>
        </w:tc>
        <w:tc>
          <w:tcPr>
            <w:shd w:val="clear" w:color="auto" w:fill="E6E6E6"/>
            <w:vAlign w:val="center"/>
          </w:tcPr>
          <w:p>
            <w:pPr>
              <w:jc w:val="center"/>
            </w:pPr>
            <w:r>
              <w:t>场地面积(㎡)</w:t>
            </w:r>
          </w:p>
        </w:tc>
        <w:tc>
          <w:tcPr>
            <w:shd w:val="clear" w:color="auto" w:fill="E6E6E6"/>
            <w:vAlign w:val="center"/>
          </w:tcPr>
          <w:p>
            <w:pPr>
              <w:jc w:val="center"/>
            </w:pPr>
            <w:r>
              <w:t>遮阳覆盖率(%)</w:t>
            </w:r>
          </w:p>
        </w:tc>
        <w:tc>
          <w:tcPr>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w:t>
            </w:r>
          </w:p>
        </w:tc>
        <w:tc>
          <w:tcPr>
            <w:vAlign w:val="center"/>
          </w:tcPr>
          <w:p>
            <w:r>
              <w:t>1179.7</w:t>
            </w:r>
          </w:p>
        </w:tc>
        <w:tc>
          <w:tcPr>
            <w:vAlign w:val="center"/>
          </w:tcPr>
          <w:p>
            <w:r>
              <w:t>3007.5</w:t>
            </w:r>
          </w:p>
        </w:tc>
        <w:tc>
          <w:tcPr>
            <w:vAlign w:val="center"/>
          </w:tcPr>
          <w:p>
            <w:r>
              <w:t>39</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人行道</w:t>
            </w:r>
          </w:p>
        </w:tc>
        <w:tc>
          <w:tcPr>
            <w:vAlign w:val="center"/>
          </w:tcPr>
          <w:p>
            <w:r>
              <w:t>99.1</w:t>
            </w:r>
          </w:p>
        </w:tc>
        <w:tc>
          <w:tcPr>
            <w:vAlign w:val="center"/>
          </w:tcPr>
          <w:p>
            <w:r>
              <w:t>1276.2</w:t>
            </w:r>
          </w:p>
        </w:tc>
        <w:tc>
          <w:tcPr>
            <w:vAlign w:val="center"/>
          </w:tcPr>
          <w:p>
            <w:r>
              <w:rPr>
                <w:color w:val="FF0000"/>
              </w:rPr>
              <w:t>8</w:t>
            </w:r>
          </w:p>
        </w:tc>
        <w:tc>
          <w:tcPr>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停车场</w:t>
            </w:r>
          </w:p>
        </w:tc>
        <w:tc>
          <w:tcPr>
            <w:vAlign w:val="center"/>
          </w:tcPr>
          <w:p>
            <w:r>
              <w:t>0.0</w:t>
            </w:r>
          </w:p>
        </w:tc>
        <w:tc>
          <w:tcPr>
            <w:vAlign w:val="center"/>
          </w:tcPr>
          <w:p>
            <w:r>
              <w:t>199.8</w:t>
            </w:r>
          </w:p>
        </w:tc>
        <w:tc>
          <w:tcPr>
            <w:vAlign w:val="center"/>
          </w:tcPr>
          <w:p>
            <w:r>
              <w:rPr>
                <w:color w:val="FF0000"/>
              </w:rPr>
              <w:t>0</w:t>
            </w:r>
          </w:p>
        </w:tc>
        <w:tc>
          <w:tcPr>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color w:val="FF0000"/>
              </w:rPr>
              <w:t>不满足</w:t>
            </w:r>
          </w:p>
        </w:tc>
      </w:tr>
    </w:tbl>
    <w:p>
      <w:pPr>
        <w:pStyle w:val="3"/>
        <w:ind w:firstLine="420"/>
        <w:rPr>
          <w:lang w:val="en-US"/>
        </w:rPr>
      </w:pPr>
      <w:bookmarkStart w:id="40" w:name="活动场地遮阳覆盖率"/>
      <w:bookmarkEnd w:id="40"/>
    </w:p>
    <w:p>
      <w:pPr>
        <w:pStyle w:val="4"/>
      </w:pPr>
      <w:bookmarkStart w:id="41" w:name="_Toc5173"/>
      <w:r>
        <w:rPr>
          <w:rFonts w:hint="eastAsia"/>
        </w:rPr>
        <w:t>底层通风架空率</w:t>
      </w:r>
      <w:bookmarkEnd w:id="41"/>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底层架空面积(㎡)</w:t>
            </w:r>
          </w:p>
        </w:tc>
        <w:tc>
          <w:tcPr>
            <w:shd w:val="clear" w:color="auto" w:fill="E6E6E6"/>
            <w:vAlign w:val="center"/>
          </w:tcPr>
          <w:p>
            <w:pPr>
              <w:jc w:val="center"/>
            </w:pPr>
            <w:r>
              <w:t>基底面积(㎡)</w:t>
            </w:r>
          </w:p>
        </w:tc>
        <w:tc>
          <w:tcPr>
            <w:shd w:val="clear" w:color="auto" w:fill="E6E6E6"/>
            <w:vAlign w:val="center"/>
          </w:tcPr>
          <w:p>
            <w:pPr>
              <w:jc w:val="center"/>
            </w:pPr>
            <w:r>
              <w:t>迎风面宽度(m)</w:t>
            </w:r>
          </w:p>
        </w:tc>
        <w:tc>
          <w:tcPr>
            <w:shd w:val="clear" w:color="auto" w:fill="E6E6E6"/>
            <w:vAlign w:val="center"/>
          </w:tcPr>
          <w:p>
            <w:pPr>
              <w:jc w:val="center"/>
            </w:pPr>
            <w:r>
              <w:t>底层通风架空率(%)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w:t>
            </w:r>
          </w:p>
        </w:tc>
        <w:tc>
          <w:tcPr>
            <w:vAlign w:val="center"/>
          </w:tcPr>
          <w:p>
            <w:r>
              <w:t>0.0</w:t>
            </w:r>
          </w:p>
        </w:tc>
        <w:tc>
          <w:tcPr>
            <w:vAlign w:val="center"/>
          </w:tcPr>
          <w:p>
            <w:r>
              <w:t>2717.7</w:t>
            </w:r>
          </w:p>
        </w:tc>
        <w:tc>
          <w:tcPr>
            <w:vAlign w:val="center"/>
          </w:tcPr>
          <w:p>
            <w:r>
              <w:t>85.2</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t>《城市居住区热环境设计标准》4.1.4条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标准要求</w:t>
            </w:r>
          </w:p>
        </w:tc>
        <w:tc>
          <w:tcPr>
            <w:gridSpan w:val="4"/>
            <w:vAlign w:val="center"/>
          </w:tcPr>
          <w:p>
            <w:r>
              <w:t>III、IV、V气候区，夏季主导风向迎风面积宽度超过80m时，底层通风架空率不应小于10%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color w:val="FF0000"/>
              </w:rPr>
              <w:t>不满足</w:t>
            </w:r>
          </w:p>
        </w:tc>
      </w:tr>
    </w:tbl>
    <w:p>
      <w:pPr>
        <w:pStyle w:val="3"/>
        <w:ind w:firstLine="420"/>
        <w:rPr>
          <w:lang w:val="en-US"/>
        </w:rPr>
      </w:pPr>
      <w:bookmarkStart w:id="42" w:name="底层通风架空率"/>
      <w:bookmarkEnd w:id="42"/>
    </w:p>
    <w:p>
      <w:pPr>
        <w:pStyle w:val="4"/>
      </w:pPr>
      <w:bookmarkStart w:id="43" w:name="_Toc24543"/>
      <w:r>
        <w:rPr>
          <w:rFonts w:hint="eastAsia"/>
        </w:rPr>
        <w:t>绿化遮阳体叶面积指数</w:t>
      </w:r>
      <w:bookmarkEnd w:id="4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12"/>
        <w:gridCol w:w="3110"/>
        <w:gridCol w:w="31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遮阳体类型</w:t>
            </w:r>
          </w:p>
        </w:tc>
        <w:tc>
          <w:tcPr>
            <w:shd w:val="clear" w:color="auto" w:fill="E6E6E6"/>
            <w:vAlign w:val="center"/>
          </w:tcPr>
          <w:p>
            <w:pPr>
              <w:jc w:val="center"/>
            </w:pPr>
            <w:r>
              <w:t>叶面积指数</w:t>
            </w:r>
          </w:p>
        </w:tc>
        <w:tc>
          <w:tcPr>
            <w:shd w:val="clear" w:color="auto" w:fill="E6E6E6"/>
            <w:vAlign w:val="center"/>
          </w:tcPr>
          <w:p>
            <w:pPr>
              <w:jc w:val="center"/>
            </w:pPr>
            <w:r>
              <w:t>面积(㎡)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t>乔木</w:t>
            </w:r>
          </w:p>
        </w:tc>
        <w:tc>
          <w:tcPr>
            <w:vAlign w:val="center"/>
          </w:tcPr>
          <w:p>
            <w:r>
              <w:t>LAI&gt;3</w:t>
            </w:r>
          </w:p>
        </w:tc>
        <w:tc>
          <w:tcPr>
            <w:vAlign w:val="center"/>
          </w:tcPr>
          <w:p>
            <w:r>
              <w:t>6236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2.0&lt;LAI&lt;=3.0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1.0&lt;LAI&lt;=2.0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0.5&lt;LAI&lt;=1.0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LAI&lt;=0.5</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爬藤棚架</w:t>
            </w:r>
          </w:p>
        </w:tc>
        <w:tc>
          <w:tcPr>
            <w:vAlign w:val="center"/>
          </w:tcPr>
          <w:p>
            <w:r>
              <w:t>LAI&gt;3</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2.0&lt;LAI&lt;=3.0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1.0&lt;LAI&lt;=2.0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0.5&lt;LAI&lt;=1.0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LAI&lt;=0.5</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依据</w:t>
            </w:r>
          </w:p>
        </w:tc>
        <w:tc>
          <w:tcPr>
            <w:gridSpan w:val="2"/>
            <w:vAlign w:val="center"/>
          </w:tcPr>
          <w:p>
            <w:r>
              <w:t>《城市居住区热环境设计标准》4.2.3条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2"/>
            <w:vAlign w:val="center"/>
          </w:tcPr>
          <w:p>
            <w:r>
              <w:t>绿化遮阳体叶面积指数不应小于3.0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结论</w:t>
            </w:r>
          </w:p>
        </w:tc>
        <w:tc>
          <w:tcPr>
            <w:gridSpan w:val="2"/>
            <w:vAlign w:val="center"/>
          </w:tcPr>
          <w:p>
            <w:r>
              <w:t>满足</w:t>
            </w:r>
          </w:p>
        </w:tc>
      </w:tr>
    </w:tbl>
    <w:p>
      <w:pPr>
        <w:pStyle w:val="3"/>
        <w:ind w:firstLine="420"/>
        <w:rPr>
          <w:lang w:val="en-US"/>
        </w:rPr>
      </w:pPr>
      <w:bookmarkStart w:id="44" w:name="绿化遮阳体叶面积指数"/>
      <w:bookmarkEnd w:id="44"/>
    </w:p>
    <w:p>
      <w:pPr>
        <w:pStyle w:val="4"/>
      </w:pPr>
      <w:bookmarkStart w:id="45" w:name="_Toc7894"/>
      <w:r>
        <w:rPr>
          <w:rFonts w:hint="eastAsia"/>
        </w:rPr>
        <w:t>渗透蒸发指标</w:t>
      </w:r>
      <w:bookmarkEnd w:id="45"/>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地面</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地面透水系数k(mm/s)</w:t>
            </w:r>
          </w:p>
        </w:tc>
        <w:tc>
          <w:tcPr>
            <w:shd w:val="clear" w:color="auto" w:fill="E6E6E6"/>
            <w:vAlign w:val="center"/>
          </w:tcPr>
          <w:p>
            <w:pPr>
              <w:jc w:val="center"/>
            </w:pPr>
            <w:r>
              <w:t>蒸发量m</w:t>
            </w:r>
            <w:r>
              <w:br w:type="textWrapping"/>
            </w:r>
            <w:r>
              <w:t>(kg/(㎡·d))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w:t>
            </w:r>
          </w:p>
        </w:tc>
        <w:tc>
          <w:tcPr>
            <w:vAlign w:val="center"/>
          </w:tcPr>
          <w:p>
            <w:r>
              <w:t>3008</w:t>
            </w:r>
          </w:p>
        </w:tc>
        <w:tc>
          <w:tcPr>
            <w:vAlign w:val="center"/>
          </w:tcPr>
          <w:p>
            <w:r>
              <w:t>0.671</w:t>
            </w:r>
          </w:p>
        </w:tc>
        <w:tc>
          <w:tcPr>
            <w:vAlign w:val="center"/>
          </w:tcPr>
          <w:p>
            <w:r>
              <w:t>1.82</w:t>
            </w:r>
          </w:p>
        </w:tc>
        <w:tc>
          <w:tcPr>
            <w:vAlign w:val="center"/>
          </w:tcPr>
          <w:p>
            <w:r>
              <w:t>1.69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人行道</w:t>
            </w:r>
          </w:p>
        </w:tc>
        <w:tc>
          <w:tcPr>
            <w:vAlign w:val="center"/>
          </w:tcPr>
          <w:p>
            <w:r>
              <w:t>1276</w:t>
            </w:r>
          </w:p>
        </w:tc>
        <w:tc>
          <w:tcPr>
            <w:vAlign w:val="center"/>
          </w:tcPr>
          <w:p>
            <w:r>
              <w:t>0.285</w:t>
            </w:r>
          </w:p>
        </w:tc>
        <w:tc>
          <w:tcPr>
            <w:vAlign w:val="center"/>
          </w:tcPr>
          <w:p>
            <w:r>
              <w:t>3.00</w:t>
            </w:r>
          </w:p>
        </w:tc>
        <w:tc>
          <w:tcPr>
            <w:vAlign w:val="center"/>
          </w:tcPr>
          <w:p>
            <w:r>
              <w:t>1.69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停车场</w:t>
            </w:r>
          </w:p>
        </w:tc>
        <w:tc>
          <w:tcPr>
            <w:vAlign w:val="center"/>
          </w:tcPr>
          <w:p>
            <w:r>
              <w:t>200</w:t>
            </w:r>
          </w:p>
        </w:tc>
        <w:tc>
          <w:tcPr>
            <w:vAlign w:val="center"/>
          </w:tcPr>
          <w:p>
            <w:r>
              <w:t>0.045</w:t>
            </w:r>
          </w:p>
        </w:tc>
        <w:tc>
          <w:tcPr>
            <w:vAlign w:val="center"/>
          </w:tcPr>
          <w:p>
            <w:r>
              <w:t>3.00</w:t>
            </w:r>
          </w:p>
        </w:tc>
        <w:tc>
          <w:tcPr>
            <w:vAlign w:val="center"/>
          </w:tcPr>
          <w:p>
            <w:r>
              <w:t>1.69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4484</w:t>
            </w:r>
          </w:p>
        </w:tc>
        <w:tc>
          <w:tcPr>
            <w:vAlign w:val="center"/>
          </w:tcPr>
          <w:p>
            <w:r>
              <w:t>1.0</w:t>
            </w:r>
          </w:p>
        </w:tc>
        <w:tc>
          <w:tcPr>
            <w:vAlign w:val="center"/>
          </w:tcPr>
          <w:p>
            <w:r>
              <w:t>2.21</w:t>
            </w:r>
          </w:p>
        </w:tc>
        <w:tc>
          <w:tcPr>
            <w:vAlign w:val="center"/>
          </w:tcPr>
          <w:p>
            <w:r>
              <w:t>1.69</w:t>
            </w:r>
          </w:p>
        </w:tc>
      </w:tr>
    </w:tbl>
    <w:p>
      <w:pPr>
        <w:pStyle w:val="3"/>
        <w:ind w:firstLine="420"/>
        <w:rPr>
          <w:lang w:val="en-US"/>
        </w:rPr>
      </w:pPr>
      <w:bookmarkStart w:id="46" w:name="渗透蒸发指标"/>
      <w:bookmarkEnd w:id="4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12"/>
        <w:gridCol w:w="3110"/>
        <w:gridCol w:w="31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地面</w:t>
            </w:r>
          </w:p>
        </w:tc>
        <w:tc>
          <w:tcPr>
            <w:shd w:val="clear" w:color="auto" w:fill="E6E6E6"/>
            <w:vAlign w:val="center"/>
          </w:tcPr>
          <w:p>
            <w:pPr>
              <w:jc w:val="center"/>
            </w:pPr>
            <w:r>
              <w:t>渗透面积比率(%)</w:t>
            </w:r>
          </w:p>
        </w:tc>
        <w:tc>
          <w:tcPr>
            <w:shd w:val="clear" w:color="auto" w:fill="E6E6E6"/>
            <w:vAlign w:val="center"/>
          </w:tcPr>
          <w:p>
            <w:pPr>
              <w:jc w:val="center"/>
            </w:pPr>
            <w:r>
              <w:t>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w:t>
            </w:r>
          </w:p>
        </w:tc>
        <w:tc>
          <w:tcPr>
            <w:vAlign w:val="center"/>
          </w:tcPr>
          <w:p>
            <w:r>
              <w:t>100</w:t>
            </w:r>
          </w:p>
        </w:tc>
        <w:tc>
          <w:tcPr>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人行道</w:t>
            </w:r>
          </w:p>
        </w:tc>
        <w:tc>
          <w:tcPr>
            <w:vAlign w:val="center"/>
          </w:tcPr>
          <w:p>
            <w:r>
              <w:t>100</w:t>
            </w:r>
          </w:p>
        </w:tc>
        <w:tc>
          <w:tcPr>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停车场</w:t>
            </w:r>
          </w:p>
        </w:tc>
        <w:tc>
          <w:tcPr>
            <w:vAlign w:val="center"/>
          </w:tcPr>
          <w:p>
            <w:r>
              <w:t>100</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pPr>
              <w:jc w:val="center"/>
            </w:pPr>
            <w:r>
              <w:t>渗透与蒸发指标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c>
          <w:tcPr>
            <w:shd w:val="clear" w:color="auto" w:fill="E6E6E6"/>
            <w:vAlign w:val="center"/>
          </w:tcPr>
          <w:p>
            <w:pPr>
              <w:jc w:val="center"/>
            </w:pPr>
            <w:r>
              <w:t>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地面透水系数k(mm/s)</w:t>
            </w:r>
          </w:p>
        </w:tc>
        <w:tc>
          <w:tcPr>
            <w:vAlign w:val="center"/>
          </w:tcPr>
          <w:p>
            <w:r>
              <w:rPr>
                <w:color w:val="FF0000"/>
              </w:rPr>
              <w:t>2.21</w:t>
            </w:r>
          </w:p>
        </w:tc>
        <w:tc>
          <w:tcPr>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蒸发量m(kg/(㎡·d))</w:t>
            </w:r>
          </w:p>
        </w:tc>
        <w:tc>
          <w:tcPr>
            <w:vAlign w:val="center"/>
          </w:tcPr>
          <w:p>
            <w:r>
              <w:t>1.69</w:t>
            </w:r>
          </w:p>
        </w:tc>
        <w:tc>
          <w:tcPr>
            <w:vAlign w:val="center"/>
          </w:tcPr>
          <w:p>
            <w:r>
              <w:t>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2"/>
            <w:vAlign w:val="center"/>
          </w:tcPr>
          <w:p>
            <w:r>
              <w:t>《城市居住区热环境设计标准》4.3.1条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2"/>
            <w:vAlign w:val="center"/>
          </w:tcPr>
          <w:p>
            <w:r>
              <w:t>渗透面积比率、透水系数及蒸发量不应低于标准规定限值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2"/>
            <w:vAlign w:val="center"/>
          </w:tcPr>
          <w:p>
            <w:r>
              <w:rPr>
                <w:color w:val="FF0000"/>
              </w:rPr>
              <w:t>不满足</w:t>
            </w:r>
          </w:p>
        </w:tc>
      </w:tr>
    </w:tbl>
    <w:p>
      <w:pPr>
        <w:pStyle w:val="3"/>
        <w:ind w:firstLine="420"/>
        <w:rPr>
          <w:lang w:val="en-US"/>
        </w:rPr>
      </w:pPr>
    </w:p>
    <w:p>
      <w:pPr>
        <w:pStyle w:val="4"/>
      </w:pPr>
      <w:bookmarkStart w:id="47" w:name="_Toc4799"/>
      <w:r>
        <w:rPr>
          <w:rFonts w:hint="eastAsia"/>
        </w:rPr>
        <w:t>屋面绿化率</w:t>
      </w:r>
      <w:bookmarkEnd w:id="47"/>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屋面轮廓面积(㎡)</w:t>
            </w:r>
          </w:p>
        </w:tc>
        <w:tc>
          <w:tcPr>
            <w:shd w:val="clear" w:color="auto" w:fill="E6E6E6"/>
            <w:vAlign w:val="center"/>
          </w:tcPr>
          <w:p>
            <w:pPr>
              <w:jc w:val="center"/>
            </w:pPr>
            <w:r>
              <w:t>屋顶绿化面积(㎡)</w:t>
            </w:r>
          </w:p>
        </w:tc>
        <w:tc>
          <w:tcPr>
            <w:shd w:val="clear" w:color="auto" w:fill="E6E6E6"/>
            <w:vAlign w:val="center"/>
          </w:tcPr>
          <w:p>
            <w:pPr>
              <w:jc w:val="center"/>
            </w:pPr>
            <w:r>
              <w:t>可绿化屋面</w:t>
            </w:r>
            <w:r>
              <w:br w:type="textWrapping"/>
            </w:r>
            <w:r>
              <w:t>面积(㎡)</w:t>
            </w:r>
          </w:p>
        </w:tc>
        <w:tc>
          <w:tcPr>
            <w:shd w:val="clear" w:color="auto" w:fill="E6E6E6"/>
            <w:vAlign w:val="center"/>
          </w:tcPr>
          <w:p>
            <w:pPr>
              <w:jc w:val="center"/>
            </w:pPr>
            <w:r>
              <w:t>屋面绿化率(%)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w:t>
            </w:r>
          </w:p>
        </w:tc>
        <w:tc>
          <w:tcPr>
            <w:vAlign w:val="center"/>
          </w:tcPr>
          <w:p>
            <w:r>
              <w:t>2717.7</w:t>
            </w:r>
          </w:p>
        </w:tc>
        <w:tc>
          <w:tcPr>
            <w:vAlign w:val="center"/>
          </w:tcPr>
          <w:p>
            <w:r>
              <w:t>2942.0</w:t>
            </w:r>
          </w:p>
        </w:tc>
        <w:tc>
          <w:tcPr>
            <w:vAlign w:val="center"/>
          </w:tcPr>
          <w:p>
            <w:r>
              <w:t>2717.7</w:t>
            </w:r>
          </w:p>
        </w:tc>
        <w:tc>
          <w:tcPr>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2717.7</w:t>
            </w:r>
          </w:p>
        </w:tc>
        <w:tc>
          <w:tcPr>
            <w:vAlign w:val="center"/>
          </w:tcPr>
          <w:p>
            <w:r>
              <w:t>2942.0</w:t>
            </w:r>
          </w:p>
        </w:tc>
        <w:tc>
          <w:tcPr>
            <w:vAlign w:val="center"/>
          </w:tcPr>
          <w:p>
            <w:r>
              <w:t>2717.7</w:t>
            </w:r>
          </w:p>
        </w:tc>
        <w:tc>
          <w:tcPr>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依据</w:t>
            </w:r>
          </w:p>
        </w:tc>
        <w:tc>
          <w:tcPr>
            <w:gridSpan w:val="4"/>
            <w:vAlign w:val="center"/>
          </w:tcPr>
          <w:p>
            <w:r>
              <w:t>《城市居住区热环境设计标准》4.4.2条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t>建筑屋面的绿化面积不应低于可绿化屋面面积的50%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t>满足</w:t>
            </w:r>
          </w:p>
        </w:tc>
      </w:tr>
    </w:tbl>
    <w:p>
      <w:pPr>
        <w:pStyle w:val="3"/>
        <w:ind w:firstLine="420"/>
        <w:rPr>
          <w:lang w:val="en-US"/>
        </w:rPr>
      </w:pPr>
      <w:bookmarkStart w:id="48" w:name="屋面绿化率"/>
      <w:bookmarkEnd w:id="48"/>
    </w:p>
    <w:p>
      <w:pPr>
        <w:pStyle w:val="2"/>
      </w:pPr>
      <w:bookmarkStart w:id="49" w:name="_Toc8329"/>
      <w:r>
        <w:rPr>
          <w:rFonts w:hint="eastAsia"/>
        </w:rPr>
        <w:t>评价性设计</w:t>
      </w:r>
      <w:bookmarkEnd w:id="49"/>
    </w:p>
    <w:p>
      <w:pPr>
        <w:pStyle w:val="4"/>
      </w:pPr>
      <w:bookmarkStart w:id="50" w:name="_Toc1739"/>
      <w:r>
        <w:rPr>
          <w:rFonts w:hint="eastAsia"/>
        </w:rPr>
        <w:t>平均热岛强度</w:t>
      </w:r>
      <w:bookmarkEnd w:id="5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31.3</w:t>
            </w:r>
          </w:p>
        </w:tc>
        <w:tc>
          <w:tcPr>
            <w:vAlign w:val="center"/>
          </w:tcPr>
          <w:p>
            <w:r>
              <w:t>2.2</w:t>
            </w:r>
          </w:p>
        </w:tc>
        <w:tc>
          <w:tcPr>
            <w:vAlign w:val="center"/>
          </w:tcPr>
          <w:p>
            <w:r>
              <w:t>4.1</w:t>
            </w:r>
          </w:p>
        </w:tc>
        <w:tc>
          <w:tcPr>
            <w:vAlign w:val="center"/>
          </w:tcPr>
          <w:p>
            <w:r>
              <w:t>1.0</w:t>
            </w:r>
          </w:p>
        </w:tc>
        <w:tc>
          <w:tcPr>
            <w:vAlign w:val="center"/>
          </w:tcPr>
          <w:p>
            <w:r>
              <w:t>28.4</w:t>
            </w:r>
          </w:p>
        </w:tc>
        <w:tc>
          <w:tcPr>
            <w:vAlign w:val="center"/>
          </w:tcPr>
          <w:p>
            <w:r>
              <w:t>31.3</w:t>
            </w:r>
          </w:p>
        </w:tc>
        <w:tc>
          <w:tcPr>
            <w:vAlign w:val="center"/>
          </w:tcPr>
          <w:p>
            <w:r>
              <w:t>-2.916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31.3</w:t>
            </w:r>
          </w:p>
        </w:tc>
        <w:tc>
          <w:tcPr>
            <w:vAlign w:val="center"/>
          </w:tcPr>
          <w:p>
            <w:r>
              <w:t>3.5</w:t>
            </w:r>
          </w:p>
        </w:tc>
        <w:tc>
          <w:tcPr>
            <w:vAlign w:val="center"/>
          </w:tcPr>
          <w:p>
            <w:r>
              <w:t>3.9</w:t>
            </w:r>
          </w:p>
        </w:tc>
        <w:tc>
          <w:tcPr>
            <w:vAlign w:val="center"/>
          </w:tcPr>
          <w:p>
            <w:r>
              <w:t>1.1</w:t>
            </w:r>
          </w:p>
        </w:tc>
        <w:tc>
          <w:tcPr>
            <w:vAlign w:val="center"/>
          </w:tcPr>
          <w:p>
            <w:r>
              <w:t>29.8</w:t>
            </w:r>
          </w:p>
        </w:tc>
        <w:tc>
          <w:tcPr>
            <w:vAlign w:val="center"/>
          </w:tcPr>
          <w:p>
            <w:r>
              <w:t>32.2</w:t>
            </w:r>
          </w:p>
        </w:tc>
        <w:tc>
          <w:tcPr>
            <w:vAlign w:val="center"/>
          </w:tcPr>
          <w:p>
            <w:r>
              <w:t>-2.379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10:00</w:t>
            </w:r>
          </w:p>
        </w:tc>
        <w:tc>
          <w:tcPr>
            <w:vAlign w:val="center"/>
          </w:tcPr>
          <w:p>
            <w:r>
              <w:t>31.3</w:t>
            </w:r>
          </w:p>
        </w:tc>
        <w:tc>
          <w:tcPr>
            <w:vAlign w:val="center"/>
          </w:tcPr>
          <w:p>
            <w:r>
              <w:t>5.0</w:t>
            </w:r>
          </w:p>
        </w:tc>
        <w:tc>
          <w:tcPr>
            <w:vAlign w:val="center"/>
          </w:tcPr>
          <w:p>
            <w:r>
              <w:t>3.7</w:t>
            </w:r>
          </w:p>
        </w:tc>
        <w:tc>
          <w:tcPr>
            <w:vAlign w:val="center"/>
          </w:tcPr>
          <w:p>
            <w:r>
              <w:t>1.2</w:t>
            </w:r>
          </w:p>
        </w:tc>
        <w:tc>
          <w:tcPr>
            <w:vAlign w:val="center"/>
          </w:tcPr>
          <w:p>
            <w:r>
              <w:t>31.4</w:t>
            </w:r>
          </w:p>
        </w:tc>
        <w:tc>
          <w:tcPr>
            <w:vAlign w:val="center"/>
          </w:tcPr>
          <w:p>
            <w:r>
              <w:t>33.1</w:t>
            </w:r>
          </w:p>
        </w:tc>
        <w:tc>
          <w:tcPr>
            <w:vAlign w:val="center"/>
          </w:tcPr>
          <w:p>
            <w:r>
              <w:t>-1.685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31.3</w:t>
            </w:r>
          </w:p>
        </w:tc>
        <w:tc>
          <w:tcPr>
            <w:vAlign w:val="center"/>
          </w:tcPr>
          <w:p>
            <w:r>
              <w:t>6.6</w:t>
            </w:r>
          </w:p>
        </w:tc>
        <w:tc>
          <w:tcPr>
            <w:vAlign w:val="center"/>
          </w:tcPr>
          <w:p>
            <w:r>
              <w:t>3.5</w:t>
            </w:r>
          </w:p>
        </w:tc>
        <w:tc>
          <w:tcPr>
            <w:vAlign w:val="center"/>
          </w:tcPr>
          <w:p>
            <w:r>
              <w:t>1.1</w:t>
            </w:r>
          </w:p>
        </w:tc>
        <w:tc>
          <w:tcPr>
            <w:vAlign w:val="center"/>
          </w:tcPr>
          <w:p>
            <w:r>
              <w:t>33.3</w:t>
            </w:r>
          </w:p>
        </w:tc>
        <w:tc>
          <w:tcPr>
            <w:vAlign w:val="center"/>
          </w:tcPr>
          <w:p>
            <w:r>
              <w:t>33.9</w:t>
            </w:r>
          </w:p>
        </w:tc>
        <w:tc>
          <w:tcPr>
            <w:vAlign w:val="center"/>
          </w:tcPr>
          <w:p>
            <w:r>
              <w:t>-0.620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31.3</w:t>
            </w:r>
          </w:p>
        </w:tc>
        <w:tc>
          <w:tcPr>
            <w:vAlign w:val="center"/>
          </w:tcPr>
          <w:p>
            <w:r>
              <w:t>8.1</w:t>
            </w:r>
          </w:p>
        </w:tc>
        <w:tc>
          <w:tcPr>
            <w:vAlign w:val="center"/>
          </w:tcPr>
          <w:p>
            <w:r>
              <w:t>3.4</w:t>
            </w:r>
          </w:p>
        </w:tc>
        <w:tc>
          <w:tcPr>
            <w:vAlign w:val="center"/>
          </w:tcPr>
          <w:p>
            <w:r>
              <w:t>0.9</w:t>
            </w:r>
          </w:p>
        </w:tc>
        <w:tc>
          <w:tcPr>
            <w:vAlign w:val="center"/>
          </w:tcPr>
          <w:p>
            <w:r>
              <w:t>35.0</w:t>
            </w:r>
          </w:p>
        </w:tc>
        <w:tc>
          <w:tcPr>
            <w:vAlign w:val="center"/>
          </w:tcPr>
          <w:p>
            <w:r>
              <w:t>34.5</w:t>
            </w:r>
          </w:p>
        </w:tc>
        <w:tc>
          <w:tcPr>
            <w:vAlign w:val="center"/>
          </w:tcPr>
          <w:p>
            <w:r>
              <w:t>0.505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31.3</w:t>
            </w:r>
          </w:p>
        </w:tc>
        <w:tc>
          <w:tcPr>
            <w:vAlign w:val="center"/>
          </w:tcPr>
          <w:p>
            <w:r>
              <w:t>9.3</w:t>
            </w:r>
          </w:p>
        </w:tc>
        <w:tc>
          <w:tcPr>
            <w:vAlign w:val="center"/>
          </w:tcPr>
          <w:p>
            <w:r>
              <w:t>3.2</w:t>
            </w:r>
          </w:p>
        </w:tc>
        <w:tc>
          <w:tcPr>
            <w:vAlign w:val="center"/>
          </w:tcPr>
          <w:p>
            <w:r>
              <w:t>0.8</w:t>
            </w:r>
          </w:p>
        </w:tc>
        <w:tc>
          <w:tcPr>
            <w:vAlign w:val="center"/>
          </w:tcPr>
          <w:p>
            <w:r>
              <w:t>36.6</w:t>
            </w:r>
          </w:p>
        </w:tc>
        <w:tc>
          <w:tcPr>
            <w:vAlign w:val="center"/>
          </w:tcPr>
          <w:p>
            <w:r>
              <w:t>34.8</w:t>
            </w:r>
          </w:p>
        </w:tc>
        <w:tc>
          <w:tcPr>
            <w:vAlign w:val="center"/>
          </w:tcPr>
          <w:p>
            <w:r>
              <w:t>1.751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14:00</w:t>
            </w:r>
          </w:p>
        </w:tc>
        <w:tc>
          <w:tcPr>
            <w:vAlign w:val="center"/>
          </w:tcPr>
          <w:p>
            <w:r>
              <w:t>31.3</w:t>
            </w:r>
          </w:p>
        </w:tc>
        <w:tc>
          <w:tcPr>
            <w:vAlign w:val="center"/>
          </w:tcPr>
          <w:p>
            <w:r>
              <w:t>10.3</w:t>
            </w:r>
          </w:p>
        </w:tc>
        <w:tc>
          <w:tcPr>
            <w:vAlign w:val="center"/>
          </w:tcPr>
          <w:p>
            <w:r>
              <w:t>3.4</w:t>
            </w:r>
          </w:p>
        </w:tc>
        <w:tc>
          <w:tcPr>
            <w:vAlign w:val="center"/>
          </w:tcPr>
          <w:p>
            <w:r>
              <w:t>0.7</w:t>
            </w:r>
          </w:p>
        </w:tc>
        <w:tc>
          <w:tcPr>
            <w:vAlign w:val="center"/>
          </w:tcPr>
          <w:p>
            <w:r>
              <w:t>37.5</w:t>
            </w:r>
          </w:p>
        </w:tc>
        <w:tc>
          <w:tcPr>
            <w:vAlign w:val="center"/>
          </w:tcPr>
          <w:p>
            <w:r>
              <w:t>34.7</w:t>
            </w:r>
          </w:p>
        </w:tc>
        <w:tc>
          <w:tcPr>
            <w:vAlign w:val="center"/>
          </w:tcPr>
          <w:p>
            <w:r>
              <w:t>2.789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31.3</w:t>
            </w:r>
          </w:p>
        </w:tc>
        <w:tc>
          <w:tcPr>
            <w:vAlign w:val="center"/>
          </w:tcPr>
          <w:p>
            <w:r>
              <w:t>10.8</w:t>
            </w:r>
          </w:p>
        </w:tc>
        <w:tc>
          <w:tcPr>
            <w:vAlign w:val="center"/>
          </w:tcPr>
          <w:p>
            <w:r>
              <w:t>3.5</w:t>
            </w:r>
          </w:p>
        </w:tc>
        <w:tc>
          <w:tcPr>
            <w:vAlign w:val="center"/>
          </w:tcPr>
          <w:p>
            <w:r>
              <w:t>0.5</w:t>
            </w:r>
          </w:p>
        </w:tc>
        <w:tc>
          <w:tcPr>
            <w:vAlign w:val="center"/>
          </w:tcPr>
          <w:p>
            <w:r>
              <w:t>38.1</w:t>
            </w:r>
          </w:p>
        </w:tc>
        <w:tc>
          <w:tcPr>
            <w:vAlign w:val="center"/>
          </w:tcPr>
          <w:p>
            <w:r>
              <w:t>34.2</w:t>
            </w:r>
          </w:p>
        </w:tc>
        <w:tc>
          <w:tcPr>
            <w:vAlign w:val="center"/>
          </w:tcPr>
          <w:p>
            <w:r>
              <w:t>3.867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31.3</w:t>
            </w:r>
          </w:p>
        </w:tc>
        <w:tc>
          <w:tcPr>
            <w:vAlign w:val="center"/>
          </w:tcPr>
          <w:p>
            <w:r>
              <w:t>11.0</w:t>
            </w:r>
          </w:p>
        </w:tc>
        <w:tc>
          <w:tcPr>
            <w:vAlign w:val="center"/>
          </w:tcPr>
          <w:p>
            <w:r>
              <w:t>3.6</w:t>
            </w:r>
          </w:p>
        </w:tc>
        <w:tc>
          <w:tcPr>
            <w:vAlign w:val="center"/>
          </w:tcPr>
          <w:p>
            <w:r>
              <w:t>0.4</w:t>
            </w:r>
          </w:p>
        </w:tc>
        <w:tc>
          <w:tcPr>
            <w:vAlign w:val="center"/>
          </w:tcPr>
          <w:p>
            <w:r>
              <w:t>38.3</w:t>
            </w:r>
          </w:p>
        </w:tc>
        <w:tc>
          <w:tcPr>
            <w:vAlign w:val="center"/>
          </w:tcPr>
          <w:p>
            <w:r>
              <w:t>33.6</w:t>
            </w:r>
          </w:p>
        </w:tc>
        <w:tc>
          <w:tcPr>
            <w:vAlign w:val="center"/>
          </w:tcPr>
          <w:p>
            <w:r>
              <w:t>4.654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31.3</w:t>
            </w:r>
          </w:p>
        </w:tc>
        <w:tc>
          <w:tcPr>
            <w:vAlign w:val="center"/>
          </w:tcPr>
          <w:p>
            <w:r>
              <w:t>10.7</w:t>
            </w:r>
          </w:p>
        </w:tc>
        <w:tc>
          <w:tcPr>
            <w:vAlign w:val="center"/>
          </w:tcPr>
          <w:p>
            <w:r>
              <w:t>3.8</w:t>
            </w:r>
          </w:p>
        </w:tc>
        <w:tc>
          <w:tcPr>
            <w:vAlign w:val="center"/>
          </w:tcPr>
          <w:p>
            <w:r>
              <w:t>0.3</w:t>
            </w:r>
          </w:p>
        </w:tc>
        <w:tc>
          <w:tcPr>
            <w:vAlign w:val="center"/>
          </w:tcPr>
          <w:p>
            <w:r>
              <w:t>37.9</w:t>
            </w:r>
          </w:p>
        </w:tc>
        <w:tc>
          <w:tcPr>
            <w:vAlign w:val="center"/>
          </w:tcPr>
          <w:p>
            <w:r>
              <w:t>32.7</w:t>
            </w:r>
          </w:p>
        </w:tc>
        <w:tc>
          <w:tcPr>
            <w:vAlign w:val="center"/>
          </w:tcPr>
          <w:p>
            <w:r>
              <w:t>5.200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18:00</w:t>
            </w:r>
          </w:p>
        </w:tc>
        <w:tc>
          <w:tcPr>
            <w:vAlign w:val="center"/>
          </w:tcPr>
          <w:p>
            <w:r>
              <w:t>31.3</w:t>
            </w:r>
          </w:p>
        </w:tc>
        <w:tc>
          <w:tcPr>
            <w:vAlign w:val="center"/>
          </w:tcPr>
          <w:p>
            <w:r>
              <w:t>10.2</w:t>
            </w:r>
          </w:p>
        </w:tc>
        <w:tc>
          <w:tcPr>
            <w:vAlign w:val="center"/>
          </w:tcPr>
          <w:p>
            <w:r>
              <w:t>4.0</w:t>
            </w:r>
          </w:p>
        </w:tc>
        <w:tc>
          <w:tcPr>
            <w:vAlign w:val="center"/>
          </w:tcPr>
          <w:p>
            <w:r>
              <w:t>0.3</w:t>
            </w:r>
          </w:p>
        </w:tc>
        <w:tc>
          <w:tcPr>
            <w:vAlign w:val="center"/>
          </w:tcPr>
          <w:p>
            <w:r>
              <w:t>37.2</w:t>
            </w:r>
          </w:p>
        </w:tc>
        <w:tc>
          <w:tcPr>
            <w:vAlign w:val="center"/>
          </w:tcPr>
          <w:p>
            <w:r>
              <w:t>31.9</w:t>
            </w:r>
          </w:p>
        </w:tc>
        <w:tc>
          <w:tcPr>
            <w:vAlign w:val="center"/>
          </w:tcPr>
          <w:p>
            <w:r>
              <w:t>5.347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51" w:name="平均热岛强度"/>
      <w:bookmarkEnd w:id="51"/>
    </w:p>
    <w:p>
      <w:pPr>
        <w:pStyle w:val="3"/>
        <w:ind w:firstLine="0" w:firstLineChars="0"/>
        <w:rPr>
          <w:lang w:val="en-US"/>
        </w:rPr>
      </w:pPr>
      <w:bookmarkStart w:id="52" w:name="平均热岛强度图片"/>
      <w:bookmarkEnd w:id="52"/>
    </w:p>
    <w:p>
      <w:pPr>
        <w:pStyle w:val="4"/>
      </w:pPr>
      <w:bookmarkStart w:id="53" w:name="_Toc147"/>
      <w:r>
        <w:rPr>
          <w:rFonts w:hint="eastAsia"/>
        </w:rPr>
        <w:t>湿球黑球温度</w:t>
      </w:r>
      <w:bookmarkEnd w:id="5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居住区温度</w:t>
            </w:r>
            <w:r>
              <w:br w:type="textWrapping"/>
            </w:r>
            <w:r>
              <w:t>(℃)</w:t>
            </w:r>
          </w:p>
        </w:tc>
        <w:tc>
          <w:tcPr>
            <w:shd w:val="clear" w:color="auto" w:fill="E6E6E6"/>
            <w:vAlign w:val="center"/>
          </w:tcPr>
          <w:p>
            <w:pPr>
              <w:jc w:val="center"/>
            </w:pPr>
            <w:r>
              <w:t>空气相对湿度</w:t>
            </w:r>
          </w:p>
        </w:tc>
        <w:tc>
          <w:tcPr>
            <w:shd w:val="clear" w:color="auto" w:fill="E6E6E6"/>
            <w:vAlign w:val="center"/>
          </w:tcPr>
          <w:p>
            <w:pPr>
              <w:jc w:val="center"/>
            </w:pPr>
            <w:r>
              <w:t>太阳辐射照度</w:t>
            </w:r>
            <w:r>
              <w:br w:type="textWrapping"/>
            </w:r>
            <w:r>
              <w:t>(W/㎡)</w:t>
            </w:r>
          </w:p>
        </w:tc>
        <w:tc>
          <w:tcPr>
            <w:shd w:val="clear" w:color="auto" w:fill="E6E6E6"/>
            <w:vAlign w:val="center"/>
          </w:tcPr>
          <w:p>
            <w:pPr>
              <w:jc w:val="center"/>
            </w:pPr>
            <w:r>
              <w:t>地表短波辐射</w:t>
            </w:r>
            <w:r>
              <w:br w:type="textWrapping"/>
            </w:r>
            <w:r>
              <w:t>(W/㎡)</w:t>
            </w:r>
          </w:p>
        </w:tc>
        <w:tc>
          <w:tcPr>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28.4</w:t>
            </w:r>
          </w:p>
        </w:tc>
        <w:tc>
          <w:tcPr>
            <w:vAlign w:val="center"/>
          </w:tcPr>
          <w:p>
            <w:r>
              <w:t>0.7</w:t>
            </w:r>
          </w:p>
        </w:tc>
        <w:tc>
          <w:tcPr>
            <w:vAlign w:val="center"/>
          </w:tcPr>
          <w:p>
            <w:r>
              <w:t>238.5</w:t>
            </w:r>
          </w:p>
        </w:tc>
        <w:tc>
          <w:tcPr>
            <w:vAlign w:val="center"/>
          </w:tcPr>
          <w:p>
            <w:r>
              <w:t>70.3</w:t>
            </w:r>
          </w:p>
        </w:tc>
        <w:tc>
          <w:tcPr>
            <w:vAlign w:val="center"/>
          </w:tcPr>
          <w:p>
            <w:r>
              <w:t>25.8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29.8</w:t>
            </w:r>
          </w:p>
        </w:tc>
        <w:tc>
          <w:tcPr>
            <w:vAlign w:val="center"/>
          </w:tcPr>
          <w:p>
            <w:r>
              <w:t>0.7</w:t>
            </w:r>
          </w:p>
        </w:tc>
        <w:tc>
          <w:tcPr>
            <w:vAlign w:val="center"/>
          </w:tcPr>
          <w:p>
            <w:r>
              <w:t>319.6</w:t>
            </w:r>
          </w:p>
        </w:tc>
        <w:tc>
          <w:tcPr>
            <w:vAlign w:val="center"/>
          </w:tcPr>
          <w:p>
            <w:r>
              <w:t>94.1</w:t>
            </w:r>
          </w:p>
        </w:tc>
        <w:tc>
          <w:tcPr>
            <w:vAlign w:val="center"/>
          </w:tcPr>
          <w:p>
            <w:r>
              <w:t>26.9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10:00</w:t>
            </w:r>
          </w:p>
        </w:tc>
        <w:tc>
          <w:tcPr>
            <w:vAlign w:val="center"/>
          </w:tcPr>
          <w:p>
            <w:r>
              <w:t>31.4</w:t>
            </w:r>
          </w:p>
        </w:tc>
        <w:tc>
          <w:tcPr>
            <w:vAlign w:val="center"/>
          </w:tcPr>
          <w:p>
            <w:r>
              <w:t>0.6</w:t>
            </w:r>
          </w:p>
        </w:tc>
        <w:tc>
          <w:tcPr>
            <w:vAlign w:val="center"/>
          </w:tcPr>
          <w:p>
            <w:r>
              <w:t>384.9</w:t>
            </w:r>
          </w:p>
        </w:tc>
        <w:tc>
          <w:tcPr>
            <w:vAlign w:val="center"/>
          </w:tcPr>
          <w:p>
            <w:r>
              <w:t>113.4</w:t>
            </w:r>
          </w:p>
        </w:tc>
        <w:tc>
          <w:tcPr>
            <w:vAlign w:val="center"/>
          </w:tcPr>
          <w:p>
            <w:r>
              <w:t>27.9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33.3</w:t>
            </w:r>
          </w:p>
        </w:tc>
        <w:tc>
          <w:tcPr>
            <w:vAlign w:val="center"/>
          </w:tcPr>
          <w:p>
            <w:r>
              <w:t>0.6</w:t>
            </w:r>
          </w:p>
        </w:tc>
        <w:tc>
          <w:tcPr>
            <w:vAlign w:val="center"/>
          </w:tcPr>
          <w:p>
            <w:r>
              <w:t>428.2</w:t>
            </w:r>
          </w:p>
        </w:tc>
        <w:tc>
          <w:tcPr>
            <w:vAlign w:val="center"/>
          </w:tcPr>
          <w:p>
            <w:r>
              <w:t>126.1</w:t>
            </w:r>
          </w:p>
        </w:tc>
        <w:tc>
          <w:tcPr>
            <w:vAlign w:val="center"/>
          </w:tcPr>
          <w:p>
            <w:r>
              <w:t>29.4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35.0</w:t>
            </w:r>
          </w:p>
        </w:tc>
        <w:tc>
          <w:tcPr>
            <w:vAlign w:val="center"/>
          </w:tcPr>
          <w:p>
            <w:r>
              <w:t>0.5</w:t>
            </w:r>
          </w:p>
        </w:tc>
        <w:tc>
          <w:tcPr>
            <w:vAlign w:val="center"/>
          </w:tcPr>
          <w:p>
            <w:r>
              <w:t>442.6</w:t>
            </w:r>
          </w:p>
        </w:tc>
        <w:tc>
          <w:tcPr>
            <w:vAlign w:val="center"/>
          </w:tcPr>
          <w:p>
            <w:r>
              <w:t>130.4</w:t>
            </w:r>
          </w:p>
        </w:tc>
        <w:tc>
          <w:tcPr>
            <w:vAlign w:val="center"/>
          </w:tcPr>
          <w:p>
            <w:r>
              <w:t>30.5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36.6</w:t>
            </w:r>
          </w:p>
        </w:tc>
        <w:tc>
          <w:tcPr>
            <w:vAlign w:val="center"/>
          </w:tcPr>
          <w:p>
            <w:r>
              <w:t>0.5</w:t>
            </w:r>
          </w:p>
        </w:tc>
        <w:tc>
          <w:tcPr>
            <w:vAlign w:val="center"/>
          </w:tcPr>
          <w:p>
            <w:r>
              <w:t>417.6</w:t>
            </w:r>
          </w:p>
        </w:tc>
        <w:tc>
          <w:tcPr>
            <w:vAlign w:val="center"/>
          </w:tcPr>
          <w:p>
            <w:r>
              <w:t>123.0</w:t>
            </w:r>
          </w:p>
        </w:tc>
        <w:tc>
          <w:tcPr>
            <w:vAlign w:val="center"/>
          </w:tcPr>
          <w:p>
            <w:r>
              <w:t>31.6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14:00</w:t>
            </w:r>
          </w:p>
        </w:tc>
        <w:tc>
          <w:tcPr>
            <w:vAlign w:val="center"/>
          </w:tcPr>
          <w:p>
            <w:r>
              <w:t>37.5</w:t>
            </w:r>
          </w:p>
        </w:tc>
        <w:tc>
          <w:tcPr>
            <w:vAlign w:val="center"/>
          </w:tcPr>
          <w:p>
            <w:r>
              <w:t>0.5</w:t>
            </w:r>
          </w:p>
        </w:tc>
        <w:tc>
          <w:tcPr>
            <w:vAlign w:val="center"/>
          </w:tcPr>
          <w:p>
            <w:r>
              <w:t>364.1</w:t>
            </w:r>
          </w:p>
        </w:tc>
        <w:tc>
          <w:tcPr>
            <w:vAlign w:val="center"/>
          </w:tcPr>
          <w:p>
            <w:r>
              <w:t>107.2</w:t>
            </w:r>
          </w:p>
        </w:tc>
        <w:tc>
          <w:tcPr>
            <w:vAlign w:val="center"/>
          </w:tcPr>
          <w:p>
            <w:r>
              <w:t>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38.1</w:t>
            </w:r>
          </w:p>
        </w:tc>
        <w:tc>
          <w:tcPr>
            <w:vAlign w:val="center"/>
          </w:tcPr>
          <w:p>
            <w:r>
              <w:t>0.5</w:t>
            </w:r>
          </w:p>
        </w:tc>
        <w:tc>
          <w:tcPr>
            <w:vAlign w:val="center"/>
          </w:tcPr>
          <w:p>
            <w:r>
              <w:t>290.7</w:t>
            </w:r>
          </w:p>
        </w:tc>
        <w:tc>
          <w:tcPr>
            <w:vAlign w:val="center"/>
          </w:tcPr>
          <w:p>
            <w:r>
              <w:t>85.6</w:t>
            </w:r>
          </w:p>
        </w:tc>
        <w:tc>
          <w:tcPr>
            <w:vAlign w:val="center"/>
          </w:tcPr>
          <w:p>
            <w:r>
              <w:t>32.3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38.3</w:t>
            </w:r>
          </w:p>
        </w:tc>
        <w:tc>
          <w:tcPr>
            <w:vAlign w:val="center"/>
          </w:tcPr>
          <w:p>
            <w:r>
              <w:t>0.4</w:t>
            </w:r>
          </w:p>
        </w:tc>
        <w:tc>
          <w:tcPr>
            <w:vAlign w:val="center"/>
          </w:tcPr>
          <w:p>
            <w:r>
              <w:t>207.9</w:t>
            </w:r>
          </w:p>
        </w:tc>
        <w:tc>
          <w:tcPr>
            <w:vAlign w:val="center"/>
          </w:tcPr>
          <w:p>
            <w:r>
              <w:t>61.3</w:t>
            </w:r>
          </w:p>
        </w:tc>
        <w:tc>
          <w:tcPr>
            <w:vAlign w:val="center"/>
          </w:tcPr>
          <w:p>
            <w:r>
              <w:t>32.2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37.9</w:t>
            </w:r>
          </w:p>
        </w:tc>
        <w:tc>
          <w:tcPr>
            <w:vAlign w:val="center"/>
          </w:tcPr>
          <w:p>
            <w:r>
              <w:t>0.5</w:t>
            </w:r>
          </w:p>
        </w:tc>
        <w:tc>
          <w:tcPr>
            <w:vAlign w:val="center"/>
          </w:tcPr>
          <w:p>
            <w:r>
              <w:t>123.9</w:t>
            </w:r>
          </w:p>
        </w:tc>
        <w:tc>
          <w:tcPr>
            <w:vAlign w:val="center"/>
          </w:tcPr>
          <w:p>
            <w:r>
              <w:t>36.5</w:t>
            </w:r>
          </w:p>
        </w:tc>
        <w:tc>
          <w:tcPr>
            <w:vAlign w:val="center"/>
          </w:tcPr>
          <w:p>
            <w:r>
              <w:t>31.5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18:00</w:t>
            </w:r>
          </w:p>
        </w:tc>
        <w:tc>
          <w:tcPr>
            <w:vAlign w:val="center"/>
          </w:tcPr>
          <w:p>
            <w:r>
              <w:t>37.2</w:t>
            </w:r>
          </w:p>
        </w:tc>
        <w:tc>
          <w:tcPr>
            <w:vAlign w:val="center"/>
          </w:tcPr>
          <w:p>
            <w:r>
              <w:t>0.5</w:t>
            </w:r>
          </w:p>
        </w:tc>
        <w:tc>
          <w:tcPr>
            <w:vAlign w:val="center"/>
          </w:tcPr>
          <w:p>
            <w:r>
              <w:t>51.3</w:t>
            </w:r>
          </w:p>
        </w:tc>
        <w:tc>
          <w:tcPr>
            <w:vAlign w:val="center"/>
          </w:tcPr>
          <w:p>
            <w:r>
              <w:t>15.1</w:t>
            </w:r>
          </w:p>
        </w:tc>
        <w:tc>
          <w:tcPr>
            <w:vAlign w:val="center"/>
          </w:tcPr>
          <w:p>
            <w:r>
              <w:t>30.7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最大湿球</w:t>
            </w:r>
            <w:r>
              <w:br w:type="textWrapping"/>
            </w:r>
            <w:r>
              <w:t>黑球强度(℃)</w:t>
            </w:r>
          </w:p>
        </w:tc>
        <w:tc>
          <w:tcPr>
            <w:gridSpan w:val="5"/>
            <w:vAlign w:val="center"/>
          </w:tcPr>
          <w:p>
            <w:r>
              <w:t>32.29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结论</w:t>
            </w:r>
          </w:p>
        </w:tc>
        <w:tc>
          <w:tcPr>
            <w:gridSpan w:val="5"/>
            <w:vAlign w:val="center"/>
          </w:tcPr>
          <w:p>
            <w:r>
              <w:t>满足</w:t>
            </w:r>
          </w:p>
        </w:tc>
      </w:tr>
    </w:tbl>
    <w:p>
      <w:pPr>
        <w:pStyle w:val="3"/>
        <w:ind w:firstLine="420"/>
        <w:rPr>
          <w:lang w:val="en-US"/>
        </w:rPr>
      </w:pPr>
      <w:bookmarkStart w:id="54" w:name="湿球黑球温度"/>
      <w:bookmarkEnd w:id="54"/>
    </w:p>
    <w:p>
      <w:pPr>
        <w:pStyle w:val="3"/>
        <w:ind w:firstLine="0" w:firstLineChars="0"/>
        <w:rPr>
          <w:lang w:val="en-US"/>
        </w:rPr>
      </w:pPr>
      <w:bookmarkStart w:id="55" w:name="湿球黑球温度图片"/>
      <w:bookmarkEnd w:id="55"/>
    </w:p>
    <w:p>
      <w:pPr>
        <w:pStyle w:val="2"/>
      </w:pPr>
      <w:bookmarkStart w:id="56" w:name="_Toc15165"/>
      <w:r>
        <w:rPr>
          <w:rFonts w:hint="eastAsia"/>
        </w:rPr>
        <w:t>结论</w:t>
      </w:r>
      <w:bookmarkEnd w:id="5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类别</w:t>
            </w:r>
          </w:p>
        </w:tc>
        <w:tc>
          <w:tcPr>
            <w:shd w:val="clear" w:color="auto" w:fill="E6E6E6"/>
            <w:vAlign w:val="center"/>
          </w:tcPr>
          <w:p>
            <w:pPr>
              <w:jc w:val="center"/>
            </w:pPr>
            <w:r>
              <w:t>检查项</w:t>
            </w:r>
          </w:p>
        </w:tc>
        <w:tc>
          <w:tcPr>
            <w:shd w:val="clear" w:color="auto" w:fill="E6E6E6"/>
            <w:vAlign w:val="center"/>
          </w:tcPr>
          <w:p>
            <w:pPr>
              <w:jc w:val="center"/>
            </w:pPr>
            <w:r>
              <w:t>结论</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b/>
              </w:rPr>
              <w:t>强条</w:t>
            </w:r>
          </w:p>
        </w:tc>
        <w:tc>
          <w:tcPr>
            <w:vAlign w:val="center"/>
          </w:tcPr>
          <w:p>
            <w:r>
              <w:rPr>
                <w:b/>
              </w:rPr>
              <w:t>平均迎风面积比</w:t>
            </w:r>
          </w:p>
        </w:tc>
        <w:tc>
          <w:tcPr>
            <w:vAlign w:val="center"/>
          </w:tcPr>
          <w:p>
            <w:r>
              <w:rPr>
                <w:b/>
                <w:color w:val="FF0000"/>
              </w:rPr>
              <w:t>不满足</w:t>
            </w:r>
          </w:p>
        </w:tc>
        <w:tc>
          <w:tcPr>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rPr>
                <w:b/>
              </w:rPr>
              <w:t>活动场地遮阳覆盖率</w:t>
            </w:r>
          </w:p>
        </w:tc>
        <w:tc>
          <w:tcPr>
            <w:vAlign w:val="center"/>
          </w:tcPr>
          <w:p>
            <w:r>
              <w:rPr>
                <w:b/>
                <w:color w:val="FF0000"/>
              </w:rPr>
              <w:t>不满足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t>规定性设计</w:t>
            </w:r>
          </w:p>
        </w:tc>
        <w:tc>
          <w:tcPr>
            <w:vAlign w:val="center"/>
          </w:tcPr>
          <w:p>
            <w:r>
              <w:t>底层通风架空率</w:t>
            </w:r>
          </w:p>
        </w:tc>
        <w:tc>
          <w:tcPr>
            <w:vAlign w:val="center"/>
          </w:tcPr>
          <w:p>
            <w:r>
              <w:rPr>
                <w:color w:val="FF0000"/>
              </w:rPr>
              <w:t>不满足</w:t>
            </w:r>
          </w:p>
        </w:tc>
        <w:tc>
          <w:tcPr>
            <w:vMerge w:val="restart"/>
            <w:vAlign w:val="center"/>
          </w:tcPr>
          <w:p>
            <w:r>
              <w:t>不满足任意一条时，进行评价性设计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绿化遮阳体叶面积指数</w:t>
            </w:r>
          </w:p>
        </w:tc>
        <w:tc>
          <w:tcPr>
            <w:vAlign w:val="center"/>
          </w:tcPr>
          <w:p>
            <w:r>
              <w:t>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渗透蒸发指标</w:t>
            </w:r>
          </w:p>
        </w:tc>
        <w:tc>
          <w:tcPr>
            <w:vAlign w:val="center"/>
          </w:tcPr>
          <w:p>
            <w:r>
              <w:rPr>
                <w:color w:val="FF0000"/>
              </w:rPr>
              <w:t>不满足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屋面绿化率</w:t>
            </w:r>
          </w:p>
        </w:tc>
        <w:tc>
          <w:tcPr>
            <w:vAlign w:val="center"/>
          </w:tcPr>
          <w:p>
            <w:r>
              <w:t>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t>评价性设计</w:t>
            </w:r>
          </w:p>
        </w:tc>
        <w:tc>
          <w:tcPr>
            <w:vAlign w:val="center"/>
          </w:tcPr>
          <w:p>
            <w:r>
              <w:t>平均热岛强度</w:t>
            </w:r>
          </w:p>
        </w:tc>
        <w:tc>
          <w:tcPr>
            <w:vAlign w:val="center"/>
          </w:tcPr>
          <w:p>
            <w:r>
              <w:t>满足</w:t>
            </w:r>
          </w:p>
        </w:tc>
        <w:tc>
          <w:tcPr>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湿球黑球温度</w:t>
            </w:r>
          </w:p>
        </w:tc>
        <w:tc>
          <w:tcPr>
            <w:vAlign w:val="center"/>
          </w:tcPr>
          <w:p>
            <w:r>
              <w:t>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2"/>
            <w:vAlign w:val="center"/>
          </w:tcPr>
          <w:p>
            <w:r>
              <w:rPr>
                <w:b/>
                <w:color w:val="FF0000"/>
              </w:rPr>
              <w:t>不满足</w:t>
            </w:r>
          </w:p>
        </w:tc>
      </w:tr>
    </w:tbl>
    <w:p>
      <w:pPr>
        <w:pStyle w:val="3"/>
        <w:ind w:firstLine="420"/>
        <w:rPr>
          <w:lang w:val="en-US"/>
        </w:rPr>
      </w:pPr>
      <w:bookmarkStart w:id="57" w:name="结论"/>
      <w:bookmarkEnd w:id="57"/>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2</w:t>
    </w:r>
    <w:r>
      <w:rPr>
        <w:rStyle w:val="23"/>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xYmY3NGVjYTlmNmVhYzUwNjMzNjk0NmFjYzYzNDgifQ=="/>
  </w:docVars>
  <w:rsids>
    <w:rsidRoot w:val="3C3349A0"/>
    <w:rsid w:val="0000545C"/>
    <w:rsid w:val="0001409C"/>
    <w:rsid w:val="00026B3F"/>
    <w:rsid w:val="00037A4C"/>
    <w:rsid w:val="00051EA5"/>
    <w:rsid w:val="000A30EF"/>
    <w:rsid w:val="000B10AF"/>
    <w:rsid w:val="000B2169"/>
    <w:rsid w:val="000B2FE8"/>
    <w:rsid w:val="000D23A3"/>
    <w:rsid w:val="000F23AD"/>
    <w:rsid w:val="000F7EF2"/>
    <w:rsid w:val="001137ED"/>
    <w:rsid w:val="00116794"/>
    <w:rsid w:val="00117637"/>
    <w:rsid w:val="00122AE1"/>
    <w:rsid w:val="00135FAF"/>
    <w:rsid w:val="0014776A"/>
    <w:rsid w:val="001541C5"/>
    <w:rsid w:val="001745BF"/>
    <w:rsid w:val="001828F2"/>
    <w:rsid w:val="001B3169"/>
    <w:rsid w:val="001B7C87"/>
    <w:rsid w:val="001D4B47"/>
    <w:rsid w:val="001D6C1E"/>
    <w:rsid w:val="00203A7D"/>
    <w:rsid w:val="002109B0"/>
    <w:rsid w:val="002209B4"/>
    <w:rsid w:val="00234F4A"/>
    <w:rsid w:val="0023730B"/>
    <w:rsid w:val="00243608"/>
    <w:rsid w:val="002555B8"/>
    <w:rsid w:val="00272BDC"/>
    <w:rsid w:val="00285189"/>
    <w:rsid w:val="002A55EA"/>
    <w:rsid w:val="002B2BB0"/>
    <w:rsid w:val="002B4464"/>
    <w:rsid w:val="002F0C69"/>
    <w:rsid w:val="002F1F5C"/>
    <w:rsid w:val="0030437C"/>
    <w:rsid w:val="00310258"/>
    <w:rsid w:val="003121F7"/>
    <w:rsid w:val="00314D29"/>
    <w:rsid w:val="00327713"/>
    <w:rsid w:val="003320D8"/>
    <w:rsid w:val="00346AFD"/>
    <w:rsid w:val="00353FD3"/>
    <w:rsid w:val="003746AC"/>
    <w:rsid w:val="00384F21"/>
    <w:rsid w:val="003B0012"/>
    <w:rsid w:val="003C6997"/>
    <w:rsid w:val="003E4437"/>
    <w:rsid w:val="00417088"/>
    <w:rsid w:val="00463861"/>
    <w:rsid w:val="004654ED"/>
    <w:rsid w:val="00480100"/>
    <w:rsid w:val="00480784"/>
    <w:rsid w:val="00486A3D"/>
    <w:rsid w:val="00490A6C"/>
    <w:rsid w:val="00495F4C"/>
    <w:rsid w:val="004A29D4"/>
    <w:rsid w:val="004C4D23"/>
    <w:rsid w:val="004C69C1"/>
    <w:rsid w:val="004C79DA"/>
    <w:rsid w:val="004D230F"/>
    <w:rsid w:val="004D449D"/>
    <w:rsid w:val="004D5876"/>
    <w:rsid w:val="004E2129"/>
    <w:rsid w:val="004E291D"/>
    <w:rsid w:val="004F534A"/>
    <w:rsid w:val="004F694D"/>
    <w:rsid w:val="0050003A"/>
    <w:rsid w:val="00503750"/>
    <w:rsid w:val="005207E3"/>
    <w:rsid w:val="005215FB"/>
    <w:rsid w:val="00545FB7"/>
    <w:rsid w:val="00561C8F"/>
    <w:rsid w:val="005755BA"/>
    <w:rsid w:val="0057692D"/>
    <w:rsid w:val="005812C2"/>
    <w:rsid w:val="005C7162"/>
    <w:rsid w:val="00613298"/>
    <w:rsid w:val="00651069"/>
    <w:rsid w:val="00657ADD"/>
    <w:rsid w:val="0067336D"/>
    <w:rsid w:val="00685427"/>
    <w:rsid w:val="00685C60"/>
    <w:rsid w:val="00694FCA"/>
    <w:rsid w:val="006A159C"/>
    <w:rsid w:val="006A38D1"/>
    <w:rsid w:val="006B5695"/>
    <w:rsid w:val="006B57E0"/>
    <w:rsid w:val="006C3941"/>
    <w:rsid w:val="0072017E"/>
    <w:rsid w:val="0072214C"/>
    <w:rsid w:val="007514FE"/>
    <w:rsid w:val="00774599"/>
    <w:rsid w:val="007D1A35"/>
    <w:rsid w:val="007E78A4"/>
    <w:rsid w:val="008329E7"/>
    <w:rsid w:val="00872A29"/>
    <w:rsid w:val="00883D6C"/>
    <w:rsid w:val="00886207"/>
    <w:rsid w:val="00897FCE"/>
    <w:rsid w:val="008B02AA"/>
    <w:rsid w:val="008B6B76"/>
    <w:rsid w:val="008E3905"/>
    <w:rsid w:val="008E7DE0"/>
    <w:rsid w:val="008F4A97"/>
    <w:rsid w:val="009115AF"/>
    <w:rsid w:val="00917B5B"/>
    <w:rsid w:val="0092562F"/>
    <w:rsid w:val="00935D40"/>
    <w:rsid w:val="00940A35"/>
    <w:rsid w:val="009410A0"/>
    <w:rsid w:val="00963036"/>
    <w:rsid w:val="009744B2"/>
    <w:rsid w:val="009B5732"/>
    <w:rsid w:val="009C3CAA"/>
    <w:rsid w:val="009C61AC"/>
    <w:rsid w:val="009D580B"/>
    <w:rsid w:val="009D7B62"/>
    <w:rsid w:val="009E4629"/>
    <w:rsid w:val="009E5E29"/>
    <w:rsid w:val="009F3F68"/>
    <w:rsid w:val="00A0719E"/>
    <w:rsid w:val="00A305A7"/>
    <w:rsid w:val="00A32590"/>
    <w:rsid w:val="00A355BD"/>
    <w:rsid w:val="00A402EA"/>
    <w:rsid w:val="00A53163"/>
    <w:rsid w:val="00A72106"/>
    <w:rsid w:val="00A83D4E"/>
    <w:rsid w:val="00AA47FE"/>
    <w:rsid w:val="00AA7C65"/>
    <w:rsid w:val="00AB536D"/>
    <w:rsid w:val="00AC7EEF"/>
    <w:rsid w:val="00B047B3"/>
    <w:rsid w:val="00B107D2"/>
    <w:rsid w:val="00B10A58"/>
    <w:rsid w:val="00B16C0D"/>
    <w:rsid w:val="00B26E83"/>
    <w:rsid w:val="00B36FB1"/>
    <w:rsid w:val="00B41640"/>
    <w:rsid w:val="00B4240C"/>
    <w:rsid w:val="00B55B22"/>
    <w:rsid w:val="00B60841"/>
    <w:rsid w:val="00B645C9"/>
    <w:rsid w:val="00B7457E"/>
    <w:rsid w:val="00BA50C0"/>
    <w:rsid w:val="00BB1C06"/>
    <w:rsid w:val="00BC24EE"/>
    <w:rsid w:val="00BD4A14"/>
    <w:rsid w:val="00BE4349"/>
    <w:rsid w:val="00C0203A"/>
    <w:rsid w:val="00C21B0B"/>
    <w:rsid w:val="00C22E6B"/>
    <w:rsid w:val="00C3317F"/>
    <w:rsid w:val="00C63237"/>
    <w:rsid w:val="00C67778"/>
    <w:rsid w:val="00C83ED1"/>
    <w:rsid w:val="00C95557"/>
    <w:rsid w:val="00C97E25"/>
    <w:rsid w:val="00CA1AA5"/>
    <w:rsid w:val="00CA311D"/>
    <w:rsid w:val="00CB5853"/>
    <w:rsid w:val="00CC50E4"/>
    <w:rsid w:val="00CE14CD"/>
    <w:rsid w:val="00CE28AA"/>
    <w:rsid w:val="00CE3E52"/>
    <w:rsid w:val="00CE6578"/>
    <w:rsid w:val="00D23AA7"/>
    <w:rsid w:val="00D345DA"/>
    <w:rsid w:val="00D40158"/>
    <w:rsid w:val="00D43C46"/>
    <w:rsid w:val="00D478B3"/>
    <w:rsid w:val="00D62A9A"/>
    <w:rsid w:val="00D96AE9"/>
    <w:rsid w:val="00DC73AD"/>
    <w:rsid w:val="00DD16C4"/>
    <w:rsid w:val="00DD42A2"/>
    <w:rsid w:val="00DD50F9"/>
    <w:rsid w:val="00DE224D"/>
    <w:rsid w:val="00DF470C"/>
    <w:rsid w:val="00E16221"/>
    <w:rsid w:val="00E423BB"/>
    <w:rsid w:val="00E4518A"/>
    <w:rsid w:val="00E72EFD"/>
    <w:rsid w:val="00E75AC2"/>
    <w:rsid w:val="00E81ACD"/>
    <w:rsid w:val="00EA0210"/>
    <w:rsid w:val="00EA0B95"/>
    <w:rsid w:val="00EA3CE7"/>
    <w:rsid w:val="00EA741A"/>
    <w:rsid w:val="00EC27FD"/>
    <w:rsid w:val="00EC70F3"/>
    <w:rsid w:val="00ED3418"/>
    <w:rsid w:val="00EE005A"/>
    <w:rsid w:val="00EF0674"/>
    <w:rsid w:val="00EF5872"/>
    <w:rsid w:val="00EF5DD5"/>
    <w:rsid w:val="00F03100"/>
    <w:rsid w:val="00F16AE6"/>
    <w:rsid w:val="00F312DB"/>
    <w:rsid w:val="00F4565A"/>
    <w:rsid w:val="00F75DD1"/>
    <w:rsid w:val="00F90890"/>
    <w:rsid w:val="00FA4B87"/>
    <w:rsid w:val="00FA733F"/>
    <w:rsid w:val="00FC0388"/>
    <w:rsid w:val="00FF2243"/>
    <w:rsid w:val="3C334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uiPriority w:val="0"/>
  </w:style>
  <w:style w:type="character" w:styleId="24">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PC-\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11</Pages>
  <Words>2758</Words>
  <Characters>4598</Characters>
  <Lines>20</Lines>
  <Paragraphs>5</Paragraphs>
  <TotalTime>2</TotalTime>
  <ScaleCrop>false</ScaleCrop>
  <LinksUpToDate>false</LinksUpToDate>
  <CharactersWithSpaces>4785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2022-12-30T06:05:00Z</dcterms:created>
  <dc:creator>Administrator</dc:creator>
  <cp:lastModifiedBy>Administrator</cp:lastModifiedBy>
  <dcterms:modified xsi:type="dcterms:W3CDTF">2022-12-30T06:07:41Z</dcterms:modified>
  <dc:title>住区热环境设计报告书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3185BE11AAD842B8AE9D6ADD55F2BA94</vt:lpwstr>
  </property>
  <property fmtid="{D5CDD505-2E9C-101B-9397-08002B2CF9AE}" pid="3" name="KSOProductBuildVer">
    <vt:lpwstr>2052-11.1.0.12980</vt:lpwstr>
  </property>
</Properties>
</file>