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烟台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2023年01月01日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2" w:name="_GoBack"/>
      <w:bookmarkEnd w:id="132"/>
      <w:r>
        <w:rPr>
          <w:rFonts w:ascii="宋体" w:hAnsi="宋体"/>
          <w:bCs w:val="0"/>
          <w:caps/>
        </w:rPr>
        <w:fldChar w:fldCharType="begin"/>
      </w:r>
      <w:r>
        <w:rPr>
          <w:rFonts w:ascii="宋体" w:hAnsi="宋体"/>
          <w:bCs w:val="0"/>
          <w:caps/>
        </w:rPr>
        <w:instrText xml:space="preserve"> HYPERLINK \l _Toc1005 </w:instrText>
      </w:r>
      <w:r>
        <w:rPr>
          <w:rFonts w:ascii="宋体" w:hAnsi="宋体"/>
          <w:bCs w:val="0"/>
          <w:caps/>
        </w:rPr>
        <w:fldChar w:fldCharType="separate"/>
      </w:r>
      <w:r>
        <w:rPr>
          <w:rFonts w:hint="eastAsia"/>
        </w:rPr>
        <w:t>1 项目概况</w:t>
      </w:r>
      <w:r>
        <w:tab/>
      </w:r>
      <w:r>
        <w:fldChar w:fldCharType="begin"/>
      </w:r>
      <w:r>
        <w:instrText xml:space="preserve"> PAGEREF _Toc1005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_Toc10751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_Toc10751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_Toc617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_Toc617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_Toc14521 </w:instrText>
      </w:r>
      <w:r>
        <w:fldChar w:fldCharType="separate"/>
      </w:r>
      <w:r>
        <w:rPr>
          <w:rFonts w:hint="eastAsia"/>
        </w:rPr>
        <w:t>2 计算</w:t>
      </w:r>
      <w:r>
        <w:t>依据</w:t>
      </w:r>
      <w:r>
        <w:tab/>
      </w:r>
      <w:r>
        <w:fldChar w:fldCharType="begin"/>
      </w:r>
      <w:r>
        <w:instrText xml:space="preserve"> PAGEREF _Toc14521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_Toc14545 </w:instrText>
      </w:r>
      <w:r>
        <w:fldChar w:fldCharType="separate"/>
      </w:r>
      <w:r>
        <w:rPr>
          <w:rFonts w:hint="eastAsia"/>
        </w:rPr>
        <w:t>3 参考</w:t>
      </w:r>
      <w:r>
        <w:t>标准</w:t>
      </w:r>
      <w:r>
        <w:tab/>
      </w:r>
      <w:r>
        <w:fldChar w:fldCharType="begin"/>
      </w:r>
      <w:r>
        <w:instrText xml:space="preserve"> PAGEREF _Toc14545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_Toc27229 </w:instrText>
      </w:r>
      <w:r>
        <w:fldChar w:fldCharType="separate"/>
      </w:r>
      <w:r>
        <w:rPr>
          <w:rFonts w:hint="eastAsia"/>
        </w:rPr>
        <w:t>4 计算原理</w:t>
      </w:r>
      <w:r>
        <w:tab/>
      </w:r>
      <w:r>
        <w:fldChar w:fldCharType="begin"/>
      </w:r>
      <w:r>
        <w:instrText xml:space="preserve"> PAGEREF _Toc27229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_Toc12147 </w:instrText>
      </w:r>
      <w:r>
        <w:fldChar w:fldCharType="separate"/>
      </w:r>
      <w:r>
        <w:rPr>
          <w:rFonts w:hint="eastAsia"/>
          <w:lang w:val="en-GB"/>
        </w:rPr>
        <w:t xml:space="preserve">4.1 </w:t>
      </w:r>
      <w:r>
        <w:rPr>
          <w:rFonts w:hint="eastAsia"/>
        </w:rPr>
        <w:t>风场计算域</w:t>
      </w:r>
      <w:r>
        <w:tab/>
      </w:r>
      <w:r>
        <w:fldChar w:fldCharType="begin"/>
      </w:r>
      <w:r>
        <w:instrText xml:space="preserve"> PAGEREF _Toc12147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_Toc17780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_Toc17780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_Toc15449 </w:instrText>
      </w:r>
      <w:r>
        <w:fldChar w:fldCharType="separate"/>
      </w:r>
      <w:r>
        <w:rPr>
          <w:rFonts w:hint="eastAsia"/>
          <w:lang w:val="en-GB"/>
        </w:rPr>
        <w:t xml:space="preserve">4.2 </w:t>
      </w:r>
      <w:r>
        <w:rPr>
          <w:rFonts w:hint="eastAsia"/>
        </w:rPr>
        <w:t>网格划分</w:t>
      </w:r>
      <w:r>
        <w:tab/>
      </w:r>
      <w:r>
        <w:fldChar w:fldCharType="begin"/>
      </w:r>
      <w:r>
        <w:instrText xml:space="preserve"> PAGEREF _Toc15449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_Toc13024 </w:instrText>
      </w:r>
      <w:r>
        <w:fldChar w:fldCharType="separate"/>
      </w:r>
      <w:r>
        <w:rPr>
          <w:rFonts w:hint="eastAsia"/>
          <w:lang w:val="en-GB"/>
        </w:rPr>
        <w:t xml:space="preserve">4.3 </w:t>
      </w:r>
      <w:r>
        <w:rPr>
          <w:rFonts w:hint="eastAsia"/>
        </w:rPr>
        <w:t>边界条件</w:t>
      </w:r>
      <w:r>
        <w:tab/>
      </w:r>
      <w:r>
        <w:fldChar w:fldCharType="begin"/>
      </w:r>
      <w:r>
        <w:instrText xml:space="preserve"> PAGEREF _Toc13024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_Toc27609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_Toc27609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_Toc8370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_Toc8370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_Toc650 </w:instrText>
      </w:r>
      <w:r>
        <w:fldChar w:fldCharType="separate"/>
      </w:r>
      <w:r>
        <w:rPr>
          <w:rFonts w:hint="eastAsia"/>
          <w:lang w:val="en-GB"/>
        </w:rPr>
        <w:t xml:space="preserve">4.4 </w:t>
      </w:r>
      <w:r>
        <w:rPr>
          <w:rFonts w:hint="eastAsia"/>
        </w:rPr>
        <w:t>湍流模型</w:t>
      </w:r>
      <w:r>
        <w:tab/>
      </w:r>
      <w:r>
        <w:fldChar w:fldCharType="begin"/>
      </w:r>
      <w:r>
        <w:instrText xml:space="preserve"> PAGEREF _Toc650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_Toc15561 </w:instrText>
      </w:r>
      <w:r>
        <w:fldChar w:fldCharType="separate"/>
      </w:r>
      <w:r>
        <w:rPr>
          <w:rFonts w:hint="eastAsia"/>
          <w:lang w:val="en-GB"/>
        </w:rPr>
        <w:t xml:space="preserve">4.5 </w:t>
      </w:r>
      <w:r>
        <w:rPr>
          <w:rFonts w:hint="eastAsia"/>
        </w:rPr>
        <w:t>求解计算</w:t>
      </w:r>
      <w:r>
        <w:tab/>
      </w:r>
      <w:r>
        <w:fldChar w:fldCharType="begin"/>
      </w:r>
      <w:r>
        <w:instrText xml:space="preserve"> PAGEREF _Toc15561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_Toc3049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_Toc3049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_Toc17215 </w:instrText>
      </w:r>
      <w:r>
        <w:fldChar w:fldCharType="separate"/>
      </w:r>
      <w:r>
        <w:rPr>
          <w:rFonts w:hint="eastAsia"/>
        </w:rPr>
        <w:t>5 结果</w:t>
      </w:r>
      <w:r>
        <w:t>分析</w:t>
      </w:r>
      <w:r>
        <w:tab/>
      </w:r>
      <w:r>
        <w:fldChar w:fldCharType="begin"/>
      </w:r>
      <w:r>
        <w:instrText xml:space="preserve"> PAGEREF _Toc17215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_Toc7895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_Toc7895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_Toc20602 </w:instrText>
      </w:r>
      <w:r>
        <w:fldChar w:fldCharType="separate"/>
      </w:r>
      <w:r>
        <w:rPr>
          <w:rFonts w:hint="eastAsia"/>
          <w:lang w:val="en-GB"/>
        </w:rPr>
        <w:t xml:space="preserve">5.2 </w:t>
      </w:r>
      <w:r>
        <w:rPr>
          <w:rFonts w:hint="eastAsia"/>
        </w:rPr>
        <w:t>冬季工况</w:t>
      </w:r>
      <w:r>
        <w:tab/>
      </w:r>
      <w:r>
        <w:fldChar w:fldCharType="begin"/>
      </w:r>
      <w:r>
        <w:instrText xml:space="preserve"> PAGEREF _Toc20602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_Toc31166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_Toc31166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_Toc24861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_Toc24861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_Toc26728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_Toc26728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_Toc9596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_Toc9596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_Toc5075 </w:instrText>
      </w:r>
      <w:r>
        <w:fldChar w:fldCharType="separate"/>
      </w:r>
      <w:r>
        <w:rPr>
          <w:rFonts w:hint="eastAsia"/>
          <w:lang w:val="en-GB"/>
        </w:rPr>
        <w:t xml:space="preserve">5.3 </w:t>
      </w:r>
      <w:r>
        <w:rPr>
          <w:rFonts w:hint="eastAsia"/>
        </w:rPr>
        <w:t>结论</w:t>
      </w:r>
      <w:r>
        <w:tab/>
      </w:r>
      <w:r>
        <w:fldChar w:fldCharType="begin"/>
      </w:r>
      <w:r>
        <w:instrText xml:space="preserve"> PAGEREF _Toc5075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_Toc15562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_Toc15562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1005"/>
      <w:r>
        <w:rPr>
          <w:rFonts w:hint="eastAsia"/>
        </w:rPr>
        <w:t>项目概况</w:t>
      </w:r>
      <w:bookmarkEnd w:id="8"/>
      <w:bookmarkEnd w:id="9"/>
    </w:p>
    <w:p>
      <w:pPr>
        <w:pStyle w:val="3"/>
        <w:ind w:firstLine="420"/>
        <w:rPr>
          <w:lang w:val="en-US"/>
        </w:rPr>
      </w:pPr>
      <w:bookmarkStart w:id="10"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0751"/>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drawing>
          <wp:inline distT="0" distB="0" distL="0" distR="0">
            <wp:extent cx="5667375" cy="3143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1432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617"/>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drawing>
          <wp:inline distT="0" distB="0" distL="0" distR="0">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1432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452108762"/>
      <w:bookmarkStart w:id="21" w:name="_Toc14521"/>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2" w:name="_Toc452108763"/>
      <w:bookmarkStart w:id="23" w:name="_Toc14545"/>
      <w:r>
        <w:rPr>
          <w:rFonts w:hint="eastAsia"/>
        </w:rPr>
        <w:t>参考</w:t>
      </w:r>
      <w:r>
        <w:t>标准</w:t>
      </w:r>
      <w:bookmarkEnd w:id="22"/>
      <w:bookmarkEnd w:id="23"/>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4" w:name="_Toc451698935"/>
      <w:bookmarkStart w:id="25" w:name="_Toc452108764"/>
      <w:bookmarkStart w:id="26"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7" w:name="_Toc27229"/>
      <w:r>
        <w:rPr>
          <w:rFonts w:hint="eastAsia"/>
        </w:rPr>
        <w:t>计算原理</w:t>
      </w:r>
      <w:bookmarkEnd w:id="24"/>
      <w:bookmarkEnd w:id="25"/>
      <w:bookmarkEnd w:id="27"/>
    </w:p>
    <w:p>
      <w:pPr>
        <w:pStyle w:val="4"/>
        <w:numPr>
          <w:ilvl w:val="1"/>
          <w:numId w:val="3"/>
        </w:numPr>
      </w:pPr>
      <w:bookmarkStart w:id="28" w:name="_Toc509844740"/>
      <w:bookmarkStart w:id="29" w:name="_Toc12147"/>
      <w:bookmarkStart w:id="30" w:name="_Toc451698937"/>
      <w:bookmarkStart w:id="31" w:name="_Toc452108765"/>
      <w:r>
        <w:rPr>
          <w:rFonts w:hint="eastAsia"/>
        </w:rPr>
        <w:t>风场计算域</w:t>
      </w:r>
      <w:bookmarkEnd w:id="28"/>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2" w:name="季节1"/>
      <w:bookmarkStart w:id="33" w:name="_Toc17780"/>
      <w:r>
        <w:rPr>
          <w:rFonts w:hint="eastAsia"/>
        </w:rPr>
        <w:t>冬季</w:t>
      </w:r>
      <w:bookmarkEnd w:id="32"/>
      <w:r>
        <w:rPr>
          <w:rFonts w:hint="eastAsia"/>
        </w:rPr>
        <w:t>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4" w:name="季节2"/>
      <w:r>
        <w:rPr>
          <w:rFonts w:hint="eastAsia" w:ascii="黑体" w:hAnsi="黑体" w:eastAsia="黑体"/>
          <w:sz w:val="20"/>
          <w:szCs w:val="20"/>
        </w:rPr>
        <w:t>冬季</w:t>
      </w:r>
      <w:bookmarkEnd w:id="34"/>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X尺寸"/>
            <w:r>
              <w:t>546</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Y尺寸"/>
            <w: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7" w:name="冬季风场Z尺寸"/>
            <w:r>
              <w:t>125</w:t>
            </w:r>
            <w:bookmarkEnd w:id="37"/>
          </w:p>
        </w:tc>
      </w:tr>
    </w:tbl>
    <w:p>
      <w:pPr>
        <w:pStyle w:val="3"/>
        <w:ind w:firstLine="0" w:firstLineChars="0"/>
        <w:jc w:val="center"/>
        <w:rPr>
          <w:lang w:val="en-US"/>
        </w:rPr>
      </w:pPr>
      <w:bookmarkStart w:id="38" w:name="冬季工况风场计算域图示"/>
      <w:bookmarkEnd w:id="38"/>
      <w:r>
        <w:drawing>
          <wp:inline distT="0" distB="0" distL="0" distR="0">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298132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9" w:name="季节3"/>
      <w:r>
        <w:rPr>
          <w:rFonts w:hint="eastAsia" w:ascii="黑体" w:hAnsi="黑体"/>
        </w:rPr>
        <w:t>冬季</w:t>
      </w:r>
      <w:bookmarkEnd w:id="39"/>
      <w:r>
        <w:rPr>
          <w:rFonts w:hint="eastAsia"/>
        </w:rPr>
        <w:t>工况风场计算域图示</w:t>
      </w:r>
      <w:r>
        <w:rPr>
          <w:rFonts w:hint="eastAsia"/>
          <w:szCs w:val="21"/>
          <w:lang w:val="en-US"/>
        </w:rPr>
        <w:t xml:space="preserve"> </w:t>
      </w:r>
    </w:p>
    <w:p>
      <w:pPr>
        <w:pStyle w:val="3"/>
        <w:ind w:firstLine="315" w:firstLineChars="150"/>
        <w:rPr>
          <w:lang w:val="en-US"/>
        </w:rPr>
      </w:pPr>
      <w:bookmarkStart w:id="40" w:name="计算域"/>
      <w:bookmarkEnd w:id="40"/>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1" w:name="_Toc509844741"/>
      <w:bookmarkStart w:id="42" w:name="_Toc15449"/>
      <w:r>
        <w:rPr>
          <w:rFonts w:hint="eastAsia"/>
        </w:rPr>
        <w:t>网格划分</w:t>
      </w:r>
      <w:bookmarkEnd w:id="41"/>
      <w:bookmarkEnd w:id="42"/>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3" w:name="OLE_LINK276"/>
      <w:bookmarkStart w:id="44" w:name="OLE_LINK277"/>
      <w:r>
        <w:rPr>
          <w:rFonts w:hint="eastAsia"/>
        </w:rPr>
        <w:t>1）普通网格：指除靠近地面和建筑以外的网格，通常不需要特别加密处理</w:t>
      </w:r>
    </w:p>
    <w:p>
      <w:pPr>
        <w:pStyle w:val="12"/>
        <w:numPr>
          <w:ilvl w:val="0"/>
          <w:numId w:val="4"/>
        </w:numPr>
        <w:spacing w:before="156"/>
      </w:pPr>
      <w:bookmarkStart w:id="45" w:name="OLE_LINK15"/>
      <w:r>
        <w:rPr>
          <w:rFonts w:hint="eastAsia"/>
        </w:rPr>
        <w:t>分弧精度：对于有圆弧特征的建筑局部，把圆弧分解为线段时，弦到弧的最大距离；</w:t>
      </w:r>
    </w:p>
    <w:bookmarkEnd w:id="45"/>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3"/>
      <w:bookmarkEnd w:id="44"/>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6" w:name="冬季网格总数"/>
            <w:r>
              <w:t>921676</w:t>
            </w:r>
            <w:bookmarkEnd w:id="4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分弧精度"/>
            <w:r>
              <w:t>0.24</w:t>
            </w:r>
            <w:bookmarkEnd w:id="47"/>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初始网格"/>
            <w:r>
              <w:t>8.0</w:t>
            </w:r>
            <w:bookmarkEnd w:id="48"/>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最小细分级数"/>
            <w:r>
              <w:t>1</w:t>
            </w:r>
            <w:bookmarkEnd w:id="49"/>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最大细分级数"/>
            <w:r>
              <w:t>2</w:t>
            </w:r>
            <w:bookmarkEnd w:id="50"/>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远场细分级数"/>
            <w:r>
              <w:t>1</w:t>
            </w:r>
            <w:bookmarkEnd w:id="51"/>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近场细分级数"/>
            <w:r>
              <w:t>2</w:t>
            </w:r>
            <w:bookmarkEnd w:id="52"/>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地面附面层数"/>
            <w:r>
              <w:t>2</w:t>
            </w:r>
            <w:bookmarkEnd w:id="53"/>
          </w:p>
        </w:tc>
      </w:tr>
      <w:tr>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建筑附面层数"/>
            <w:r>
              <w:t>0</w:t>
            </w:r>
            <w:bookmarkEnd w:id="54"/>
          </w:p>
        </w:tc>
      </w:tr>
      <w:bookmarkEnd w:id="0"/>
      <w:bookmarkEnd w:id="1"/>
      <w:bookmarkEnd w:id="2"/>
    </w:tbl>
    <w:p>
      <w:pPr>
        <w:rPr>
          <w:szCs w:val="21"/>
          <w:lang w:val="en-US"/>
        </w:rPr>
      </w:pPr>
    </w:p>
    <w:p>
      <w:pPr>
        <w:pStyle w:val="3"/>
        <w:ind w:firstLine="630" w:firstLineChars="300"/>
        <w:rPr>
          <w:rFonts w:ascii="黑体" w:hAnsi="黑体" w:eastAsia="黑体"/>
          <w:szCs w:val="20"/>
        </w:rPr>
      </w:pPr>
      <w:bookmarkStart w:id="55" w:name="网格划分信息"/>
      <w:bookmarkEnd w:id="55"/>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6" w:name="_Toc509844742"/>
      <w:bookmarkStart w:id="57" w:name="_Toc13024"/>
      <w:r>
        <w:rPr>
          <w:rFonts w:hint="eastAsia"/>
        </w:rPr>
        <w:t>边界条件</w:t>
      </w:r>
      <w:bookmarkEnd w:id="56"/>
      <w:bookmarkEnd w:id="57"/>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8" w:name="_Toc509844743"/>
      <w:bookmarkStart w:id="59" w:name="_Toc27609"/>
      <w:r>
        <w:rPr>
          <w:rFonts w:hint="eastAsia"/>
        </w:rPr>
        <w:t>入口与出口边界条件</w:t>
      </w:r>
      <w:bookmarkEnd w:id="58"/>
      <w:bookmarkEnd w:id="59"/>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0" w:name="地面粗糙度指数2"/>
      <w:r>
        <w:rPr>
          <w:rFonts w:hint="eastAsia"/>
          <w:lang w:val="en-US"/>
        </w:rPr>
        <w:t>0.28</w:t>
      </w:r>
      <w:bookmarkEnd w:id="60"/>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1" w:name="_Toc509844744"/>
      <w:bookmarkStart w:id="62" w:name="_Toc8370"/>
      <w:r>
        <w:rPr>
          <w:rFonts w:hint="eastAsia"/>
        </w:rPr>
        <w:t>壁面边界条件</w:t>
      </w:r>
      <w:bookmarkEnd w:id="61"/>
      <w:bookmarkEnd w:id="62"/>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3" w:name="_Toc650"/>
      <w:r>
        <w:rPr>
          <w:rFonts w:hint="eastAsia"/>
        </w:rPr>
        <w:t>湍流模型</w:t>
      </w:r>
      <w:bookmarkEnd w:id="30"/>
      <w:bookmarkEnd w:id="31"/>
      <w:bookmarkEnd w:id="63"/>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4" w:name="_Toc451698939"/>
      <w:bookmarkStart w:id="65" w:name="_Toc452108767"/>
      <w:bookmarkStart w:id="66" w:name="_Toc15561"/>
      <w:r>
        <w:rPr>
          <w:rFonts w:hint="eastAsia"/>
        </w:rPr>
        <w:t>求解计算</w:t>
      </w:r>
      <w:bookmarkEnd w:id="64"/>
      <w:bookmarkEnd w:id="65"/>
      <w:bookmarkEnd w:id="66"/>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7"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7"/>
      <w:r>
        <w:rPr>
          <w:rFonts w:hint="eastAsia" w:ascii="黑体" w:hAnsi="黑体" w:eastAsia="黑体"/>
          <w:sz w:val="20"/>
          <w:szCs w:val="20"/>
        </w:rPr>
        <w:t xml:space="preserve"> </w:t>
      </w:r>
      <w:bookmarkStart w:id="68" w:name="_Ref225175618"/>
      <w:r>
        <w:rPr>
          <w:rFonts w:hint="eastAsia" w:ascii="黑体" w:hAnsi="黑体" w:eastAsia="黑体"/>
          <w:sz w:val="20"/>
          <w:szCs w:val="20"/>
        </w:rPr>
        <w:t>计算流体力学的控制方程</w:t>
      </w:r>
      <w:bookmarkEnd w:id="68"/>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6"/>
    </w:p>
    <w:p>
      <w:pPr>
        <w:pStyle w:val="4"/>
      </w:pPr>
      <w:bookmarkStart w:id="69" w:name="_Toc509844747"/>
      <w:bookmarkStart w:id="70" w:name="_Toc3049"/>
      <w:r>
        <w:rPr>
          <w:rFonts w:hint="eastAsia"/>
        </w:rPr>
        <w:t>风速放大系数计算</w:t>
      </w:r>
      <w:bookmarkEnd w:id="69"/>
      <w:bookmarkEnd w:id="70"/>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2" w:name="_Toc452108768"/>
      <w:bookmarkStart w:id="73" w:name="_Toc17215"/>
      <w:r>
        <w:rPr>
          <w:rFonts w:hint="eastAsia"/>
        </w:rPr>
        <w:t>结果</w:t>
      </w:r>
      <w:r>
        <w:t>分析</w:t>
      </w:r>
      <w:bookmarkEnd w:id="72"/>
      <w:bookmarkEnd w:id="73"/>
    </w:p>
    <w:p>
      <w:pPr>
        <w:pStyle w:val="4"/>
        <w:rPr>
          <w:szCs w:val="21"/>
        </w:rPr>
      </w:pPr>
      <w:bookmarkStart w:id="74" w:name="_Toc7895"/>
      <w:r>
        <w:rPr>
          <w:rFonts w:hint="eastAsia"/>
          <w:szCs w:val="21"/>
        </w:rPr>
        <w:t>工况</w:t>
      </w:r>
      <w:r>
        <w:rPr>
          <w:szCs w:val="21"/>
        </w:rPr>
        <w:t>表</w:t>
      </w:r>
      <w:bookmarkEnd w:id="74"/>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5"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90.0</w:t>
            </w:r>
          </w:p>
        </w:tc>
      </w:tr>
      <w:bookmarkEnd w:id="75"/>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6" w:name="_Toc509844750"/>
      <w:bookmarkStart w:id="77" w:name="_Toc20602"/>
      <w:r>
        <w:rPr>
          <w:rFonts w:hint="eastAsia"/>
        </w:rPr>
        <w:t>冬季工况</w:t>
      </w:r>
      <w:bookmarkEnd w:id="76"/>
      <w:bookmarkEnd w:id="77"/>
    </w:p>
    <w:p>
      <w:pPr>
        <w:ind w:firstLine="420" w:firstLineChars="200"/>
        <w:jc w:val="both"/>
      </w:pPr>
      <w:r>
        <w:rPr>
          <w:rFonts w:hint="eastAsia"/>
          <w:lang w:val="en-US"/>
        </w:rPr>
        <w:t>本项目冬季工况的入口边界风速为</w:t>
      </w:r>
      <w:bookmarkStart w:id="78" w:name="冬季入口边界风速"/>
      <w:r>
        <w:rPr>
          <w:rFonts w:hint="eastAsia" w:ascii="Calibri" w:hAnsi="Calibri"/>
          <w:szCs w:val="21"/>
        </w:rPr>
        <w:t>4.70</w:t>
      </w:r>
      <w:bookmarkEnd w:id="78"/>
      <w:r>
        <w:rPr>
          <w:rFonts w:ascii="Calibri" w:hAnsi="Calibri"/>
          <w:szCs w:val="21"/>
        </w:rPr>
        <w:t>m/s</w:t>
      </w:r>
      <w:r>
        <w:rPr>
          <w:rFonts w:hint="eastAsia" w:ascii="Calibri" w:hAnsi="Calibri"/>
          <w:szCs w:val="21"/>
        </w:rPr>
        <w:t>，风向为</w:t>
      </w:r>
      <w:bookmarkStart w:id="79" w:name="冬季入口边界风向"/>
      <w:r>
        <w:rPr>
          <w:szCs w:val="21"/>
        </w:rPr>
        <w:t>N</w:t>
      </w:r>
      <w:bookmarkEnd w:id="79"/>
      <w:r>
        <w:rPr>
          <w:rFonts w:hint="eastAsia"/>
          <w:szCs w:val="21"/>
        </w:rPr>
        <w:t>。</w:t>
      </w:r>
    </w:p>
    <w:p>
      <w:pPr>
        <w:pStyle w:val="5"/>
      </w:pPr>
      <w:bookmarkStart w:id="80" w:name="_Toc509844751"/>
      <w:bookmarkStart w:id="81" w:name="_Toc31166"/>
      <w:r>
        <w:rPr>
          <w:rFonts w:hint="eastAsia"/>
        </w:rPr>
        <w:t>风速达标分析</w:t>
      </w:r>
      <w:bookmarkEnd w:id="80"/>
      <w:bookmarkEnd w:id="81"/>
      <w:r>
        <w:rPr>
          <w:rFonts w:hint="eastAsia"/>
        </w:rPr>
        <w:t xml:space="preserve"> </w:t>
      </w:r>
    </w:p>
    <w:p>
      <w:pPr>
        <w:pStyle w:val="6"/>
        <w:numPr>
          <w:ilvl w:val="3"/>
          <w:numId w:val="1"/>
        </w:numPr>
      </w:pPr>
      <w:r>
        <w:t>人行区域风速达标分析</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2" w:name="冬季工况人行区风速分析结论"/>
      <w:bookmarkEnd w:id="82"/>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3" w:name="冬季工况人行区风速云图"/>
      <w:bookmarkEnd w:id="83"/>
      <w:r>
        <w:drawing>
          <wp:inline distT="0" distB="0" distL="0" distR="0">
            <wp:extent cx="5667375" cy="2857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2857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bookmarkEnd w:id="5"/>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84" w:name="冬季工况风速分析结论"/>
      <w:r>
        <w:t>建筑周围没有风速超限区域，可以采用该建筑布局。</w:t>
      </w:r>
      <w:bookmarkEnd w:id="84"/>
    </w:p>
    <w:p>
      <w:pPr>
        <w:pStyle w:val="3"/>
        <w:ind w:hanging="2" w:firstLineChars="0"/>
        <w:jc w:val="center"/>
        <w:rPr>
          <w:rFonts w:ascii="Calibri Light" w:hAnsi="Calibri Light" w:eastAsia="黑体"/>
          <w:sz w:val="20"/>
          <w:szCs w:val="20"/>
        </w:rPr>
      </w:pPr>
      <w:bookmarkStart w:id="85" w:name="冬季工况风速云图"/>
      <w:bookmarkEnd w:id="85"/>
      <w:r>
        <w:drawing>
          <wp:inline distT="0" distB="0" distL="0" distR="0">
            <wp:extent cx="5667375" cy="28670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28670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6" w:name="_Toc509844752"/>
      <w:bookmarkStart w:id="87" w:name="_Toc24861"/>
      <w:r>
        <w:rPr>
          <w:rFonts w:hint="eastAsia"/>
        </w:rPr>
        <w:t>风速放大系数达标分析</w:t>
      </w:r>
      <w:bookmarkEnd w:id="86"/>
      <w:bookmarkEnd w:id="87"/>
    </w:p>
    <w:p>
      <w:pPr>
        <w:pStyle w:val="6"/>
      </w:pPr>
      <w:r>
        <w:rPr>
          <w:rFonts w:hint="eastAsia"/>
        </w:rPr>
        <w:t>人行区域</w:t>
      </w:r>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8" w:name="冬季工况人行区风速放大系数分析结论"/>
      <w:bookmarkEnd w:id="88"/>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89" w:name="冬季工况人行区风速放大系数云图"/>
      <w:bookmarkEnd w:id="89"/>
      <w:r>
        <w:drawing>
          <wp:inline distT="0" distB="0" distL="0" distR="0">
            <wp:extent cx="5667375" cy="28194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28194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bookmarkEnd w:id="10"/>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90" w:name="冬季工况风速放大系数分析结论"/>
      <w:r>
        <w:t>建筑周围没有风速放大系数超限区域，可以采用该建筑布局。</w:t>
      </w:r>
      <w:bookmarkEnd w:id="90"/>
    </w:p>
    <w:p>
      <w:pPr>
        <w:pStyle w:val="13"/>
        <w:jc w:val="center"/>
        <w:rPr>
          <w:lang w:val="en-US"/>
        </w:rPr>
      </w:pPr>
      <w:bookmarkStart w:id="91" w:name="冬季工况风速放大系数云图"/>
      <w:bookmarkEnd w:id="91"/>
      <w:r>
        <w:drawing>
          <wp:inline distT="0" distB="0" distL="0" distR="0">
            <wp:extent cx="5667375" cy="2857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2857500"/>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4</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92" w:name="_Toc509844753"/>
      <w:bookmarkStart w:id="93" w:name="_Toc26728"/>
      <w:r>
        <w:rPr>
          <w:rFonts w:hint="eastAsia" w:cs="宋体"/>
          <w:lang w:val="en-GB"/>
        </w:rPr>
        <w:t>人行区域</w:t>
      </w:r>
      <w:r>
        <w:rPr>
          <w:rFonts w:hint="eastAsia"/>
        </w:rPr>
        <w:t>冬季工况风速/风速放大系数达标判定</w:t>
      </w:r>
      <w:bookmarkEnd w:id="92"/>
      <w:bookmarkEnd w:id="9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94" w:name="冬季工况风速要求2019"/>
            <w:r>
              <w:rPr>
                <w:rFonts w:hint="eastAsia" w:ascii="宋体" w:hAnsi="宋体" w:cs="宋体"/>
                <w:szCs w:val="21"/>
              </w:rPr>
              <w:t xml:space="preserve">或 </w:t>
            </w:r>
            <w:r>
              <w:rPr>
                <w:rFonts w:ascii="宋体" w:hAnsi="宋体" w:cs="宋体"/>
                <w:szCs w:val="21"/>
              </w:rPr>
              <w:t>&lt;2m/s</w:t>
            </w:r>
            <w:bookmarkEnd w:id="9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5" w:name="冬季工况风速是否有超限区域"/>
            <w:r>
              <w:rPr>
                <w:rFonts w:hint="eastAsia" w:ascii="宋体" w:hAnsi="宋体" w:cs="宋体"/>
                <w:color w:val="000000"/>
                <w:sz w:val="22"/>
                <w:szCs w:val="22"/>
                <w:lang w:val="en-US"/>
              </w:rPr>
              <w:t>否</w:t>
            </w:r>
            <w:bookmarkEnd w:id="9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6" w:name="冬季工况风速达标判断"/>
            <w:r>
              <w:rPr>
                <w:rFonts w:hint="eastAsia" w:ascii="宋体" w:hAnsi="宋体" w:cs="宋体"/>
                <w:color w:val="000000"/>
                <w:sz w:val="22"/>
                <w:szCs w:val="22"/>
                <w:lang w:val="en-US"/>
              </w:rPr>
              <w:t>是</w:t>
            </w:r>
            <w:bookmarkEnd w:id="96"/>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7" w:name="冬季工况风速放大系数是否有超限区域"/>
            <w:r>
              <w:rPr>
                <w:rFonts w:hint="eastAsia" w:ascii="宋体" w:hAnsi="宋体" w:cs="宋体"/>
                <w:color w:val="000000"/>
                <w:sz w:val="22"/>
                <w:szCs w:val="22"/>
                <w:lang w:val="en-US"/>
              </w:rPr>
              <w:t>否</w:t>
            </w:r>
            <w:bookmarkEnd w:id="9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8" w:name="冬季工况风速放大系数达标判断"/>
            <w:r>
              <w:rPr>
                <w:rFonts w:hint="eastAsia" w:ascii="宋体" w:hAnsi="宋体" w:cs="宋体"/>
                <w:color w:val="000000"/>
                <w:sz w:val="22"/>
                <w:szCs w:val="22"/>
                <w:lang w:val="en-US"/>
              </w:rPr>
              <w:t>是</w:t>
            </w:r>
            <w:bookmarkEnd w:id="98"/>
          </w:p>
        </w:tc>
      </w:tr>
    </w:tbl>
    <w:p>
      <w:pPr>
        <w:pStyle w:val="5"/>
      </w:pPr>
      <w:bookmarkStart w:id="99" w:name="_Toc509844754"/>
      <w:bookmarkEnd w:id="99"/>
      <w:bookmarkStart w:id="100" w:name="_Toc509844755"/>
      <w:bookmarkEnd w:id="100"/>
      <w:bookmarkStart w:id="101" w:name="_Toc509844756"/>
      <w:bookmarkEnd w:id="101"/>
      <w:bookmarkStart w:id="102" w:name="_Toc509844757"/>
      <w:bookmarkEnd w:id="102"/>
      <w:bookmarkStart w:id="103" w:name="_Toc509844758"/>
      <w:bookmarkStart w:id="104" w:name="_Toc9596"/>
      <w:r>
        <w:rPr>
          <w:rFonts w:hint="eastAsia"/>
        </w:rPr>
        <w:t>建筑迎风面和背风面风压分析</w:t>
      </w:r>
      <w:bookmarkEnd w:id="103"/>
      <w:bookmarkEnd w:id="104"/>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05" w:name="冬季工况建筑迎风面风压云图"/>
      <w:bookmarkEnd w:id="105"/>
      <w:r>
        <w:drawing>
          <wp:inline distT="0" distB="0" distL="0" distR="0">
            <wp:extent cx="5667375" cy="29718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4"/>
                    <a:stretch>
                      <a:fillRect/>
                    </a:stretch>
                  </pic:blipFill>
                  <pic:spPr>
                    <a:xfrm>
                      <a:off x="0" y="0"/>
                      <a:ext cx="5667375" cy="2971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06" w:name="冬季工况建筑背风面风压云图"/>
      <w:bookmarkEnd w:id="106"/>
      <w:r>
        <w:drawing>
          <wp:inline distT="0" distB="0" distL="0" distR="0">
            <wp:extent cx="5667375" cy="2990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5"/>
                    <a:stretch>
                      <a:fillRect/>
                    </a:stretch>
                  </pic:blipFill>
                  <pic:spPr>
                    <a:xfrm>
                      <a:off x="0" y="0"/>
                      <a:ext cx="5667375" cy="29908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07" w:name="建筑迎风面和背风面风压差计算结果"/>
      <w:r>
        <w:rPr>
          <w:rFonts w:hint="eastAsia"/>
        </w:rPr>
        <w:t>建筑迎风面和背风面风压差计算结果</w:t>
      </w:r>
    </w:p>
    <w:p>
      <w:pPr>
        <w:jc w:val="center"/>
        <w:rPr>
          <w:rFonts w:ascii="Cambria" w:hAnsi="Cambria" w:eastAsia="黑体"/>
          <w:sz w:val="20"/>
        </w:rPr>
      </w:pPr>
      <w:bookmarkStart w:id="108"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9" w:name="建筑迎背风面风压差表_建筑名"/>
      <w:r>
        <w:rPr>
          <w:rFonts w:ascii="Cambria" w:hAnsi="Cambria" w:eastAsia="黑体"/>
          <w:sz w:val="20"/>
        </w:rPr>
        <w:t>DT单体(竞赛总平面 通风)</w:t>
      </w:r>
      <w:bookmarkEnd w:id="109"/>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-2.71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-2.16</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-0.55</w:t>
            </w:r>
          </w:p>
        </w:tc>
      </w:tr>
      <w:bookmarkEnd w:id="108"/>
    </w:tbl>
    <w:p>
      <w:bookmarkStart w:id="110" w:name="结论"/>
      <w:bookmarkEnd w:id="110"/>
      <w:r>
        <w:t>结论：迎风第一排建筑，</w:t>
      </w:r>
      <w:r>
        <w:rPr>
          <w:b/>
          <w:color w:val="00FF00"/>
        </w:rPr>
        <w:t>标准未做要求</w:t>
      </w:r>
      <w:r>
        <w:t>。</w:t>
      </w:r>
    </w:p>
    <w:bookmarkEnd w:id="107"/>
    <w:p>
      <w:pPr>
        <w:jc w:val="center"/>
        <w:rPr>
          <w:rFonts w:ascii="Cambria" w:hAnsi="Cambria" w:eastAsia="黑体"/>
          <w:sz w:val="20"/>
        </w:rPr>
      </w:pPr>
      <w:bookmarkStart w:id="111" w:name="建筑迎背风面风压差表_新增"/>
      <w:bookmarkEnd w:id="111"/>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2"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DT单体(竞赛总平面 通风)</w:t>
            </w:r>
          </w:p>
        </w:tc>
        <w:tc>
          <w:tcPr>
            <w:tcW w:w="1276" w:type="dxa"/>
            <w:shd w:val="clear" w:color="auto" w:fill="auto"/>
            <w:vAlign w:val="center"/>
          </w:tcPr>
          <w:p>
            <w:pPr>
              <w:jc w:val="center"/>
              <w:rPr>
                <w:lang w:val="en-US"/>
              </w:rPr>
            </w:pPr>
            <w:r>
              <w:rPr>
                <w:lang w:val="en-US"/>
              </w:rPr>
              <w:t>-2.71</w:t>
            </w:r>
          </w:p>
        </w:tc>
        <w:tc>
          <w:tcPr>
            <w:tcW w:w="1276" w:type="dxa"/>
            <w:shd w:val="clear" w:color="auto" w:fill="auto"/>
            <w:vAlign w:val="center"/>
          </w:tcPr>
          <w:p>
            <w:pPr>
              <w:jc w:val="center"/>
              <w:rPr>
                <w:lang w:val="en-US"/>
              </w:rPr>
            </w:pPr>
            <w:r>
              <w:rPr>
                <w:lang w:val="en-US"/>
              </w:rPr>
              <w:t>-2.16</w:t>
            </w:r>
          </w:p>
        </w:tc>
        <w:tc>
          <w:tcPr>
            <w:tcW w:w="1701" w:type="dxa"/>
            <w:shd w:val="clear" w:color="auto" w:fill="auto"/>
            <w:vAlign w:val="center"/>
          </w:tcPr>
          <w:p>
            <w:pPr>
              <w:jc w:val="center"/>
              <w:rPr>
                <w:lang w:val="en-US"/>
              </w:rPr>
            </w:pPr>
            <w:r>
              <w:rPr>
                <w:lang w:val="en-US"/>
              </w:rPr>
              <w:t>-0.55</w:t>
            </w:r>
          </w:p>
        </w:tc>
        <w:tc>
          <w:tcPr>
            <w:tcW w:w="973" w:type="dxa"/>
            <w:shd w:val="clear" w:color="auto" w:fill="auto"/>
            <w:vAlign w:val="center"/>
          </w:tcPr>
          <w:p>
            <w:pPr>
              <w:jc w:val="center"/>
              <w:rPr>
                <w:lang w:val="en-US"/>
              </w:rPr>
            </w:pPr>
            <w:r>
              <w:rPr>
                <w:lang w:val="en-US"/>
              </w:rPr>
              <w:t>不参评</w:t>
            </w:r>
          </w:p>
        </w:tc>
      </w:tr>
      <w:bookmarkEnd w:id="112"/>
    </w:tbl>
    <w:p>
      <w:pPr>
        <w:rPr>
          <w:lang w:val="en-US"/>
        </w:rPr>
      </w:pPr>
      <w:bookmarkStart w:id="113" w:name="建筑迎风和背风面风压差结论汇总结论"/>
      <w:bookmarkEnd w:id="113"/>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14" w:name="冬季工况"/>
      <w:bookmarkEnd w:id="114"/>
      <w:r>
        <w:rPr>
          <w:rFonts w:hint="eastAsia"/>
          <w:lang w:val="en-US"/>
        </w:rPr>
        <w:t xml:space="preserve"> </w:t>
      </w:r>
    </w:p>
    <w:p>
      <w:pPr>
        <w:rPr>
          <w:lang w:val="en-US"/>
        </w:rPr>
      </w:pPr>
      <w:bookmarkStart w:id="115" w:name="其他工况"/>
      <w:bookmarkEnd w:id="115"/>
      <w:r>
        <w:rPr>
          <w:rFonts w:hint="eastAsia"/>
          <w:lang w:val="en-US"/>
        </w:rPr>
        <w:t xml:space="preserve"> </w:t>
      </w:r>
    </w:p>
    <w:p>
      <w:pPr>
        <w:pStyle w:val="4"/>
      </w:pPr>
      <w:bookmarkStart w:id="116" w:name="_Toc509844764"/>
      <w:bookmarkStart w:id="117" w:name="_Toc5075"/>
      <w:r>
        <w:rPr>
          <w:rFonts w:hint="eastAsia"/>
        </w:rPr>
        <w:t>结论</w:t>
      </w:r>
      <w:bookmarkEnd w:id="116"/>
      <w:bookmarkEnd w:id="117"/>
    </w:p>
    <w:p>
      <w:pPr>
        <w:pStyle w:val="5"/>
      </w:pPr>
      <w:bookmarkStart w:id="118" w:name="_Toc509844765"/>
      <w:bookmarkStart w:id="119" w:name="_Toc15562"/>
      <w:r>
        <w:rPr>
          <w:rFonts w:hint="eastAsia"/>
        </w:rPr>
        <w:t>冬季工况达标判断</w:t>
      </w:r>
      <w:bookmarkEnd w:id="118"/>
      <w:bookmarkEnd w:id="119"/>
      <w:bookmarkStart w:id="120" w:name="_Toc509844766"/>
      <w:bookmarkEnd w:id="12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21" w:name="冬季风速结果"/>
            <w:r>
              <w:t>没有出现</w:t>
            </w:r>
            <w:bookmarkEnd w:id="121"/>
            <w:r>
              <w:rPr>
                <w:rFonts w:hint="eastAsia"/>
                <w:lang w:val="en-US"/>
              </w:rPr>
              <w:t>风速大于</w:t>
            </w:r>
            <w:r>
              <w:rPr>
                <w:lang w:val="en-US"/>
              </w:rPr>
              <w:t>5m/s</w:t>
            </w:r>
            <w:r>
              <w:rPr>
                <w:rFonts w:hint="eastAsia"/>
                <w:lang w:val="en-US"/>
              </w:rPr>
              <w:t>的区域，户外休息区、儿童娱乐区</w:t>
            </w:r>
            <w:bookmarkStart w:id="122" w:name="冬季风速结果2"/>
            <w:r>
              <w:t>没有出现</w:t>
            </w:r>
            <w:bookmarkEnd w:id="122"/>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bookmarkStart w:id="123" w:name="冬季风速达标判定"/>
            <w:r>
              <w:rPr>
                <w:rFonts w:hint="eastAsia"/>
                <w:b/>
                <w:lang w:val="en-US"/>
              </w:rPr>
              <w:t>达标</w:t>
            </w:r>
            <w:bookmarkEnd w:id="123"/>
          </w:p>
        </w:tc>
        <w:tc>
          <w:tcPr>
            <w:tcW w:w="1416" w:type="dxa"/>
            <w:vMerge w:val="restart"/>
            <w:tcBorders>
              <w:top w:val="single" w:color="auto" w:sz="4" w:space="0"/>
            </w:tcBorders>
            <w:shd w:val="clear" w:color="auto" w:fill="auto"/>
            <w:vAlign w:val="center"/>
          </w:tcPr>
          <w:p>
            <w:pPr>
              <w:jc w:val="center"/>
              <w:rPr>
                <w:lang w:val="en-US"/>
              </w:rPr>
            </w:pPr>
            <w:bookmarkStart w:id="124" w:name="冬季风速得分"/>
            <w:r>
              <w:rPr>
                <w:rFonts w:hint="eastAsia"/>
                <w:lang w:val="en-US"/>
              </w:rPr>
              <w:t>3</w:t>
            </w:r>
            <w:bookmarkEnd w:id="12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25" w:name="冬季风速放大系数结果"/>
            <w:r>
              <w:t>没有出现</w:t>
            </w:r>
            <w:bookmarkEnd w:id="125"/>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26" w:name="冬季迎背风面结果"/>
            <w:r>
              <w:t>没有出现</w:t>
            </w:r>
            <w:bookmarkEnd w:id="12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27" w:name="冬季迎背风面达标判定"/>
            <w:r>
              <w:rPr>
                <w:rFonts w:hint="eastAsia"/>
                <w:b/>
                <w:lang w:val="en-US"/>
              </w:rPr>
              <w:t>达标</w:t>
            </w:r>
            <w:bookmarkEnd w:id="127"/>
          </w:p>
        </w:tc>
        <w:tc>
          <w:tcPr>
            <w:tcW w:w="1416" w:type="dxa"/>
            <w:shd w:val="clear" w:color="auto" w:fill="auto"/>
            <w:vAlign w:val="center"/>
          </w:tcPr>
          <w:p>
            <w:pPr>
              <w:jc w:val="center"/>
              <w:rPr>
                <w:lang w:val="en-US"/>
              </w:rPr>
            </w:pPr>
            <w:bookmarkStart w:id="128" w:name="冬季迎背风面得分"/>
            <w:r>
              <w:rPr>
                <w:rFonts w:hint="eastAsia"/>
                <w:lang w:val="en-US"/>
              </w:rPr>
              <w:t>2</w:t>
            </w:r>
            <w:bookmarkEnd w:id="128"/>
            <w:r>
              <w:rPr>
                <w:rFonts w:hint="eastAsia"/>
                <w:lang w:val="en-US"/>
              </w:rPr>
              <w:t>分</w:t>
            </w:r>
          </w:p>
        </w:tc>
      </w:tr>
    </w:tbl>
    <w:p>
      <w:pPr>
        <w:rPr>
          <w:szCs w:val="21"/>
          <w:lang w:val="en-US"/>
        </w:rPr>
      </w:pPr>
      <w:bookmarkStart w:id="129" w:name="_Toc509844768"/>
      <w:bookmarkEnd w:id="129"/>
      <w:bookmarkStart w:id="130" w:name="_Toc509844767"/>
      <w:bookmarkEnd w:id="130"/>
    </w:p>
    <w:p>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YmY3NGVjYTlmNmVhYzUwNjMzNjk0NmFjYzYzNDgifQ=="/>
  </w:docVars>
  <w:rsids>
    <w:rsidRoot w:val="224050F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2240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numbering" Target="numbering.xml"/><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P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tmp2.dotx</Template>
  <Pages>17</Pages>
  <Words>4910</Words>
  <Characters>5452</Characters>
  <Lines>40</Lines>
  <Paragraphs>11</Paragraphs>
  <TotalTime>0</TotalTime>
  <ScaleCrop>false</ScaleCrop>
  <LinksUpToDate>false</LinksUpToDate>
  <CharactersWithSpaces>5836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2023-01-01T08:28:00Z</dcterms:created>
  <dc:creator>Administrator</dc:creator>
  <cp:lastModifiedBy>Administrator</cp:lastModifiedBy>
  <dcterms:modified xsi:type="dcterms:W3CDTF">2023-01-01T08:28:53Z</dcterms:modified>
  <dc:title>室外风环境模拟分析报告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5B4647903908497DAE63F7030EA46583</vt:lpwstr>
  </property>
  <property fmtid="{D5CDD505-2E9C-101B-9397-08002B2CF9AE}" pid="3" name="KSOProductBuildVer">
    <vt:lpwstr>2052-11.1.0.12980</vt:lpwstr>
  </property>
</Properties>
</file>