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xxxx项目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南宁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xxxx有限公司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xxxx建筑设计有限公司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2022年05月23日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192"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_Toc18153 </w:instrText>
      </w:r>
      <w:r>
        <w:rPr>
          <w:rFonts w:ascii="宋体" w:hAnsi="宋体"/>
          <w:bCs w:val="0"/>
          <w:caps/>
        </w:rPr>
        <w:fldChar w:fldCharType="separate"/>
      </w:r>
      <w:r>
        <w:rPr>
          <w:rFonts w:hint="eastAsia"/>
        </w:rPr>
        <w:t>1 项目概况</w:t>
      </w:r>
      <w:r>
        <w:tab/>
      </w:r>
      <w:r>
        <w:fldChar w:fldCharType="begin"/>
      </w:r>
      <w:r>
        <w:instrText xml:space="preserve"> PAGEREF _Toc18153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_Toc29143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_Toc29143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_Toc1691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_Toc1691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_Toc28312 </w:instrText>
      </w:r>
      <w:r>
        <w:fldChar w:fldCharType="separate"/>
      </w:r>
      <w:r>
        <w:rPr>
          <w:rFonts w:hint="eastAsia"/>
        </w:rPr>
        <w:t>2 计算</w:t>
      </w:r>
      <w:r>
        <w:t>依据</w:t>
      </w:r>
      <w:r>
        <w:tab/>
      </w:r>
      <w:r>
        <w:fldChar w:fldCharType="begin"/>
      </w:r>
      <w:r>
        <w:instrText xml:space="preserve"> PAGEREF _Toc28312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_Toc20214 </w:instrText>
      </w:r>
      <w:r>
        <w:fldChar w:fldCharType="separate"/>
      </w:r>
      <w:r>
        <w:rPr>
          <w:rFonts w:hint="eastAsia"/>
        </w:rPr>
        <w:t>3 参考</w:t>
      </w:r>
      <w:r>
        <w:t>标准</w:t>
      </w:r>
      <w:r>
        <w:tab/>
      </w:r>
      <w:r>
        <w:fldChar w:fldCharType="begin"/>
      </w:r>
      <w:r>
        <w:instrText xml:space="preserve"> PAGEREF _Toc20214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_Toc845 </w:instrText>
      </w:r>
      <w:r>
        <w:fldChar w:fldCharType="separate"/>
      </w:r>
      <w:r>
        <w:rPr>
          <w:rFonts w:hint="eastAsia"/>
        </w:rPr>
        <w:t>4 计算原理</w:t>
      </w:r>
      <w:r>
        <w:tab/>
      </w:r>
      <w:r>
        <w:fldChar w:fldCharType="begin"/>
      </w:r>
      <w:r>
        <w:instrText xml:space="preserve"> PAGEREF _Toc845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_Toc19106 </w:instrText>
      </w:r>
      <w:r>
        <w:fldChar w:fldCharType="separate"/>
      </w:r>
      <w:r>
        <w:rPr>
          <w:rFonts w:hint="eastAsia"/>
          <w:lang w:val="en-GB"/>
        </w:rPr>
        <w:t xml:space="preserve">4.1 </w:t>
      </w:r>
      <w:r>
        <w:rPr>
          <w:rFonts w:hint="eastAsia"/>
        </w:rPr>
        <w:t>风场计算域</w:t>
      </w:r>
      <w:r>
        <w:tab/>
      </w:r>
      <w:r>
        <w:fldChar w:fldCharType="begin"/>
      </w:r>
      <w:r>
        <w:instrText xml:space="preserve"> PAGEREF _Toc19106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_Toc22912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_Toc22912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_Toc2177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_Toc2177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_Toc2593 </w:instrText>
      </w:r>
      <w:r>
        <w:fldChar w:fldCharType="separate"/>
      </w:r>
      <w:r>
        <w:rPr>
          <w:rFonts w:hint="eastAsia"/>
          <w:lang w:val="en-GB"/>
        </w:rPr>
        <w:t xml:space="preserve">4.2 </w:t>
      </w:r>
      <w:r>
        <w:rPr>
          <w:rFonts w:hint="eastAsia"/>
        </w:rPr>
        <w:t>网格划分</w:t>
      </w:r>
      <w:r>
        <w:tab/>
      </w:r>
      <w:r>
        <w:fldChar w:fldCharType="begin"/>
      </w:r>
      <w:r>
        <w:instrText xml:space="preserve"> PAGEREF _Toc2593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_Toc13576 </w:instrText>
      </w:r>
      <w:r>
        <w:fldChar w:fldCharType="separate"/>
      </w:r>
      <w:r>
        <w:rPr>
          <w:rFonts w:hint="eastAsia"/>
          <w:lang w:val="en-GB"/>
        </w:rPr>
        <w:t xml:space="preserve">4.3 </w:t>
      </w:r>
      <w:r>
        <w:rPr>
          <w:rFonts w:hint="eastAsia"/>
        </w:rPr>
        <w:t>边界条件</w:t>
      </w:r>
      <w:r>
        <w:tab/>
      </w:r>
      <w:r>
        <w:fldChar w:fldCharType="begin"/>
      </w:r>
      <w:r>
        <w:instrText xml:space="preserve"> PAGEREF _Toc13576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_Toc20976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_Toc20976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_Toc23442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_Toc23442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_Toc12814 </w:instrText>
      </w:r>
      <w:r>
        <w:fldChar w:fldCharType="separate"/>
      </w:r>
      <w:r>
        <w:rPr>
          <w:rFonts w:hint="eastAsia"/>
          <w:lang w:val="en-GB"/>
        </w:rPr>
        <w:t xml:space="preserve">4.4 </w:t>
      </w:r>
      <w:r>
        <w:rPr>
          <w:rFonts w:hint="eastAsia"/>
        </w:rPr>
        <w:t>湍流模型</w:t>
      </w:r>
      <w:r>
        <w:tab/>
      </w:r>
      <w:r>
        <w:fldChar w:fldCharType="begin"/>
      </w:r>
      <w:r>
        <w:instrText xml:space="preserve"> PAGEREF _Toc12814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_Toc22311 </w:instrText>
      </w:r>
      <w:r>
        <w:fldChar w:fldCharType="separate"/>
      </w:r>
      <w:r>
        <w:rPr>
          <w:rFonts w:hint="eastAsia"/>
          <w:lang w:val="en-GB"/>
        </w:rPr>
        <w:t xml:space="preserve">4.5 </w:t>
      </w:r>
      <w:r>
        <w:rPr>
          <w:rFonts w:hint="eastAsia"/>
        </w:rPr>
        <w:t>求解计算</w:t>
      </w:r>
      <w:r>
        <w:tab/>
      </w:r>
      <w:r>
        <w:fldChar w:fldCharType="begin"/>
      </w:r>
      <w:r>
        <w:instrText xml:space="preserve"> PAGEREF _Toc22311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_Toc9763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_Toc9763 \h </w:instrText>
      </w:r>
      <w:r>
        <w:fldChar w:fldCharType="separate"/>
      </w:r>
      <w:r>
        <w:t>13</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_Toc9414 </w:instrText>
      </w:r>
      <w:r>
        <w:fldChar w:fldCharType="separate"/>
      </w:r>
      <w:r>
        <w:rPr>
          <w:rFonts w:hint="eastAsia"/>
        </w:rPr>
        <w:t>5 结果</w:t>
      </w:r>
      <w:r>
        <w:t>分析</w:t>
      </w:r>
      <w:r>
        <w:tab/>
      </w:r>
      <w:r>
        <w:fldChar w:fldCharType="begin"/>
      </w:r>
      <w:r>
        <w:instrText xml:space="preserve"> PAGEREF _Toc9414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_Toc13687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_Toc13687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_Toc1029 </w:instrText>
      </w:r>
      <w:r>
        <w:fldChar w:fldCharType="separate"/>
      </w:r>
      <w:r>
        <w:rPr>
          <w:rFonts w:hint="eastAsia"/>
          <w:lang w:val="en-GB"/>
        </w:rPr>
        <w:t xml:space="preserve">5.2 </w:t>
      </w:r>
      <w:r>
        <w:rPr>
          <w:rFonts w:hint="eastAsia"/>
        </w:rPr>
        <w:t>冬季工况</w:t>
      </w:r>
      <w:r>
        <w:tab/>
      </w:r>
      <w:r>
        <w:fldChar w:fldCharType="begin"/>
      </w:r>
      <w:r>
        <w:instrText xml:space="preserve"> PAGEREF _Toc1029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_Toc15787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_Toc15787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_Toc27450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_Toc27450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_Toc13244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_Toc13244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_Toc1176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_Toc1176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_Toc30986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_Toc30986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_Toc29717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_Toc29717 \h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_Toc4478 </w:instrText>
      </w:r>
      <w:r>
        <w:fldChar w:fldCharType="separate"/>
      </w:r>
      <w:r>
        <w:rPr>
          <w:rFonts w:hint="eastAsia"/>
          <w:lang w:val="en-GB"/>
        </w:rPr>
        <w:t xml:space="preserve">5.3 </w:t>
      </w:r>
      <w:r>
        <w:rPr>
          <w:rFonts w:hint="eastAsia"/>
        </w:rPr>
        <w:t>夏季工况</w:t>
      </w:r>
      <w:r>
        <w:tab/>
      </w:r>
      <w:r>
        <w:fldChar w:fldCharType="begin"/>
      </w:r>
      <w:r>
        <w:instrText xml:space="preserve"> PAGEREF _Toc4478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_Toc1686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_Toc1686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_Toc5252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_Toc5252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_Toc25481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_Toc25481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_Toc2746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_Toc2746 \h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_Toc7256 </w:instrText>
      </w:r>
      <w:r>
        <w:fldChar w:fldCharType="separate"/>
      </w:r>
      <w:r>
        <w:rPr>
          <w:rFonts w:hint="eastAsia"/>
          <w:lang w:val="en-GB"/>
        </w:rPr>
        <w:t xml:space="preserve">5.4 </w:t>
      </w:r>
      <w:r>
        <w:rPr>
          <w:rFonts w:hint="eastAsia"/>
        </w:rPr>
        <w:t>结论</w:t>
      </w:r>
      <w:r>
        <w:tab/>
      </w:r>
      <w:r>
        <w:fldChar w:fldCharType="begin"/>
      </w:r>
      <w:r>
        <w:instrText xml:space="preserve"> PAGEREF _Toc7256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_Toc17953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_Toc17953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_Toc4175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_Toc4175 \h </w:instrText>
      </w:r>
      <w:r>
        <w:fldChar w:fldCharType="separate"/>
      </w:r>
      <w:r>
        <w:t>24</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18153"/>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29143"/>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4"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4"/>
    </w:tbl>
    <w:p>
      <w:pPr>
        <w:pStyle w:val="3"/>
        <w:ind w:firstLine="0" w:firstLineChars="0"/>
        <w:jc w:val="center"/>
        <w:rPr>
          <w:lang w:val="en-US"/>
        </w:rPr>
      </w:pPr>
      <w:r>
        <w:rPr>
          <w:rFonts w:hint="eastAsia"/>
          <w:lang w:val="en-US"/>
        </w:rPr>
        <w:t xml:space="preserve"> </w:t>
      </w:r>
      <w:bookmarkStart w:id="15" w:name="总平面图"/>
      <w:bookmarkEnd w:id="15"/>
      <w:r>
        <w:drawing>
          <wp:inline distT="0" distB="0" distL="0" distR="0">
            <wp:extent cx="5667375" cy="34575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34575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452108761"/>
      <w:bookmarkStart w:id="17" w:name="_Toc1691"/>
      <w:r>
        <w:rPr>
          <w:rFonts w:hint="eastAsia"/>
        </w:rPr>
        <w:t>三</w:t>
      </w:r>
      <w:r>
        <w:t>维视图</w:t>
      </w:r>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8"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671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452108762"/>
      <w:bookmarkStart w:id="21" w:name="TitleFormat"/>
      <w:bookmarkStart w:id="22" w:name="_Toc28312"/>
      <w:r>
        <w:rPr>
          <w:rFonts w:hint="eastAsia"/>
        </w:rPr>
        <w:t>计算</w:t>
      </w:r>
      <w:r>
        <w:t>依据</w:t>
      </w:r>
      <w:bookmarkEnd w:id="20"/>
      <w:bookmarkEnd w:id="21"/>
      <w:bookmarkEnd w:id="22"/>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bookmarkEnd w:id="23"/>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20214"/>
      <w:bookmarkStart w:id="25" w:name="_Toc452108763"/>
      <w:r>
        <w:rPr>
          <w:rFonts w:hint="eastAsia"/>
        </w:rPr>
        <w:t>参考</w:t>
      </w:r>
      <w:r>
        <w:t>标准</w:t>
      </w:r>
      <w:bookmarkEnd w:id="24"/>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845"/>
      <w:r>
        <w:rPr>
          <w:rFonts w:hint="eastAsia"/>
        </w:rPr>
        <w:t>计算原理</w:t>
      </w:r>
      <w:bookmarkEnd w:id="27"/>
      <w:bookmarkEnd w:id="28"/>
      <w:bookmarkEnd w:id="34"/>
    </w:p>
    <w:p>
      <w:pPr>
        <w:pStyle w:val="4"/>
        <w:numPr>
          <w:ilvl w:val="1"/>
          <w:numId w:val="3"/>
        </w:numPr>
      </w:pPr>
      <w:bookmarkStart w:id="35" w:name="_Toc509844740"/>
      <w:bookmarkStart w:id="36" w:name="_Toc19106"/>
      <w:bookmarkStart w:id="37" w:name="_Toc451698937"/>
      <w:bookmarkStart w:id="38" w:name="_Toc452108765"/>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_Toc22912"/>
      <w:bookmarkStart w:id="40" w:name="季节1"/>
      <w:r>
        <w:rPr>
          <w:rFonts w:hint="eastAsia"/>
        </w:rPr>
        <w:t>冬季工况风场计算域</w:t>
      </w:r>
      <w:bookmarkEnd w:id="39"/>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399</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326</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109</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181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1813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2177"/>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109</w:t>
            </w:r>
          </w:p>
        </w:tc>
      </w:tr>
    </w:tbl>
    <w:p>
      <w:pPr>
        <w:pStyle w:val="3"/>
        <w:ind w:firstLine="0" w:firstLineChars="0"/>
        <w:jc w:val="center"/>
        <w:rPr>
          <w:lang w:val="en-US"/>
        </w:rPr>
      </w:pPr>
      <w:r>
        <w:drawing>
          <wp:inline distT="0" distB="0" distL="0" distR="0">
            <wp:extent cx="5667375" cy="31813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1813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8"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9" w:name="_Toc509844741"/>
      <w:bookmarkStart w:id="50" w:name="_Toc2593"/>
      <w:r>
        <w:rPr>
          <w:rFonts w:hint="eastAsia"/>
        </w:rPr>
        <w:t>网格划分</w:t>
      </w:r>
      <w:bookmarkEnd w:id="49"/>
      <w:bookmarkEnd w:id="5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1" w:name="OLE_LINK276"/>
      <w:bookmarkStart w:id="52" w:name="OLE_LINK277"/>
      <w:r>
        <w:rPr>
          <w:rFonts w:hint="eastAsia"/>
        </w:rPr>
        <w:t>1）普通网格：指除靠近地面和建筑以外的网格，通常不需要特别加密处理</w:t>
      </w:r>
    </w:p>
    <w:p>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1"/>
      <w:bookmarkEnd w:id="52"/>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4" w:name="冬季网格总数"/>
            <w:r>
              <w:t>280627</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分弧精度"/>
            <w:r>
              <w:t>0.24</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初始网格"/>
            <w:r>
              <w:t>8.0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最小细分级数"/>
            <w:r>
              <w:t>1</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最大细分级数"/>
            <w:r>
              <w:t>2</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远场细分级数"/>
            <w:r>
              <w:t>1</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近场细分级数"/>
            <w:r>
              <w:t>2</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地面附面层数"/>
            <w:r>
              <w:t>2</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建筑附面层数"/>
            <w:r>
              <w:t>0</w:t>
            </w:r>
            <w:bookmarkEnd w:id="62"/>
          </w:p>
        </w:tc>
      </w:tr>
    </w:tbl>
    <w:p>
      <w:pPr>
        <w:rPr>
          <w:szCs w:val="21"/>
          <w:lang w:val="en-US"/>
        </w:rPr>
      </w:pPr>
    </w:p>
    <w:p>
      <w:pPr>
        <w:jc w:val="center"/>
      </w:pPr>
      <w:bookmarkStart w:id="63" w:name="网格图"/>
      <w:bookmarkEnd w:id="63"/>
      <w:r>
        <w:drawing>
          <wp:inline distT="0" distB="0" distL="0" distR="0">
            <wp:extent cx="5667375" cy="31908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tretch>
                      <a:fillRect/>
                    </a:stretch>
                  </pic:blipFill>
                  <pic:spPr>
                    <a:xfrm>
                      <a:off x="0" y="0"/>
                      <a:ext cx="5667375" cy="31908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4" w:name="季节"/>
      <w:r>
        <w:rPr>
          <w:rFonts w:hint="eastAsia" w:ascii="黑体" w:hAnsi="黑体" w:eastAsia="黑体"/>
          <w:sz w:val="20"/>
          <w:szCs w:val="20"/>
        </w:rPr>
        <w:t>冬季</w:t>
      </w:r>
      <w:bookmarkEnd w:id="64"/>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281026</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4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bookmarkEnd w:id="13"/>
          </w:p>
        </w:tc>
      </w:tr>
    </w:tbl>
    <w:p>
      <w:pPr>
        <w:rPr>
          <w:szCs w:val="21"/>
          <w:lang w:val="en-US"/>
        </w:rPr>
      </w:pPr>
    </w:p>
    <w:p>
      <w:pPr>
        <w:jc w:val="center"/>
      </w:pPr>
      <w:r>
        <w:drawing>
          <wp:inline distT="0" distB="0" distL="0" distR="0">
            <wp:extent cx="5667375" cy="31908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a:stretch>
                      <a:fillRect/>
                    </a:stretch>
                  </pic:blipFill>
                  <pic:spPr>
                    <a:xfrm>
                      <a:off x="0" y="0"/>
                      <a:ext cx="5667375" cy="31908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65" w:name="网格划分信息"/>
      <w:bookmarkEnd w:id="65"/>
      <w:r>
        <w:rPr>
          <w:rFonts w:hint="eastAsia" w:ascii="黑体" w:hAnsi="黑体" w:eastAsia="黑体"/>
          <w:szCs w:val="20"/>
          <w:lang w:val="en-US"/>
        </w:rPr>
        <w:t>注：前述计算域随风向不同，所以相同的网格方案会产生不同的网格数量。</w:t>
      </w:r>
    </w:p>
    <w:bookmarkEnd w:id="48"/>
    <w:p>
      <w:pPr>
        <w:pStyle w:val="3"/>
        <w:ind w:firstLine="0" w:firstLineChars="0"/>
        <w:rPr>
          <w:rFonts w:ascii="黑体" w:hAnsi="黑体" w:eastAsia="黑体"/>
          <w:szCs w:val="20"/>
          <w:lang w:val="en-US"/>
        </w:rPr>
      </w:pPr>
    </w:p>
    <w:p>
      <w:pPr>
        <w:pStyle w:val="4"/>
        <w:numPr>
          <w:ilvl w:val="1"/>
          <w:numId w:val="3"/>
        </w:numPr>
      </w:pPr>
      <w:bookmarkStart w:id="66" w:name="_Toc509844742"/>
      <w:bookmarkStart w:id="67" w:name="_Toc13576"/>
      <w:r>
        <w:rPr>
          <w:rFonts w:hint="eastAsia"/>
        </w:rPr>
        <w:t>边界条件</w:t>
      </w:r>
      <w:bookmarkEnd w:id="66"/>
      <w:bookmarkEnd w:id="67"/>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8" w:name="_Toc509844743"/>
      <w:bookmarkStart w:id="69" w:name="_Toc20976"/>
      <w:r>
        <w:rPr>
          <w:rFonts w:hint="eastAsia"/>
        </w:rPr>
        <w:t>入口与出口边界条件</w:t>
      </w:r>
      <w:bookmarkEnd w:id="68"/>
      <w:bookmarkEnd w:id="69"/>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0" w:name="地面粗糙度指数2"/>
      <w:r>
        <w:rPr>
          <w:rFonts w:hint="eastAsia"/>
          <w:lang w:val="en-US"/>
        </w:rPr>
        <w:t>0.28</w:t>
      </w:r>
      <w:bookmarkEnd w:id="70"/>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1" w:name="_Toc509844744"/>
      <w:bookmarkStart w:id="72" w:name="_Toc23442"/>
      <w:r>
        <w:rPr>
          <w:rFonts w:hint="eastAsia"/>
        </w:rPr>
        <w:t>壁面边界条件</w:t>
      </w:r>
      <w:bookmarkEnd w:id="71"/>
      <w:bookmarkEnd w:id="72"/>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3" w:name="_Toc12814"/>
      <w:r>
        <w:rPr>
          <w:rFonts w:hint="eastAsia"/>
        </w:rPr>
        <w:t>湍流模型</w:t>
      </w:r>
      <w:bookmarkEnd w:id="37"/>
      <w:bookmarkEnd w:id="38"/>
      <w:bookmarkEnd w:id="73"/>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4" w:name="_Toc451698939"/>
      <w:bookmarkStart w:id="75" w:name="_Toc452108767"/>
      <w:bookmarkStart w:id="76" w:name="_Toc22311"/>
      <w:r>
        <w:rPr>
          <w:rFonts w:hint="eastAsia"/>
        </w:rPr>
        <w:t>求解计算</w:t>
      </w:r>
      <w:bookmarkEnd w:id="74"/>
      <w:bookmarkEnd w:id="75"/>
      <w:bookmarkEnd w:id="76"/>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7"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7"/>
      <w:r>
        <w:rPr>
          <w:rFonts w:hint="eastAsia" w:ascii="黑体" w:hAnsi="黑体" w:eastAsia="黑体"/>
          <w:sz w:val="20"/>
          <w:szCs w:val="20"/>
        </w:rPr>
        <w:t xml:space="preserve"> </w:t>
      </w:r>
      <w:bookmarkStart w:id="78" w:name="_Ref225175618"/>
      <w:r>
        <w:rPr>
          <w:rFonts w:hint="eastAsia" w:ascii="黑体" w:hAnsi="黑体" w:eastAsia="黑体"/>
          <w:sz w:val="20"/>
          <w:szCs w:val="20"/>
        </w:rPr>
        <w:t>计算流体力学的控制方程</w:t>
      </w:r>
      <w:bookmarkEnd w:id="78"/>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pPr>
        <w:pStyle w:val="4"/>
      </w:pPr>
      <w:bookmarkStart w:id="79" w:name="_Toc509844747"/>
      <w:bookmarkStart w:id="80" w:name="_Toc9763"/>
      <w:r>
        <w:rPr>
          <w:rFonts w:hint="eastAsia"/>
        </w:rPr>
        <w:t>风速放大系数计算</w:t>
      </w:r>
      <w:bookmarkEnd w:id="79"/>
      <w:bookmarkEnd w:id="80"/>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1" w:name="地面粗糙度指数"/>
      <w:r>
        <w:rPr>
          <w:rFonts w:hint="eastAsia"/>
          <w:lang w:val="en-US"/>
        </w:rPr>
        <w:t>0.28</w:t>
      </w:r>
      <w:bookmarkEnd w:id="81"/>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2" w:name="_Toc452108768"/>
      <w:bookmarkStart w:id="83" w:name="_Toc9414"/>
      <w:r>
        <w:rPr>
          <w:rFonts w:hint="eastAsia"/>
        </w:rPr>
        <w:t>结果</w:t>
      </w:r>
      <w:r>
        <w:t>分析</w:t>
      </w:r>
      <w:bookmarkEnd w:id="82"/>
      <w:bookmarkEnd w:id="83"/>
    </w:p>
    <w:p>
      <w:pPr>
        <w:pStyle w:val="4"/>
        <w:rPr>
          <w:szCs w:val="21"/>
        </w:rPr>
      </w:pPr>
      <w:bookmarkStart w:id="84" w:name="_Toc13687"/>
      <w:r>
        <w:rPr>
          <w:rFonts w:hint="eastAsia"/>
          <w:szCs w:val="21"/>
        </w:rPr>
        <w:t>工况</w:t>
      </w:r>
      <w:r>
        <w:rPr>
          <w:szCs w:val="21"/>
        </w:rPr>
        <w:t>表</w:t>
      </w:r>
      <w:bookmarkEnd w:id="84"/>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5"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1.90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270.0</w:t>
            </w:r>
          </w:p>
        </w:tc>
      </w:tr>
      <w:bookmarkEnd w:id="85"/>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6" w:name="_Toc509844750"/>
      <w:bookmarkStart w:id="87" w:name="_Toc1029"/>
      <w:r>
        <w:rPr>
          <w:rFonts w:hint="eastAsia"/>
        </w:rPr>
        <w:t>冬季工况</w:t>
      </w:r>
      <w:bookmarkEnd w:id="86"/>
      <w:bookmarkEnd w:id="87"/>
    </w:p>
    <w:p>
      <w:pPr>
        <w:ind w:firstLine="420" w:firstLineChars="200"/>
        <w:jc w:val="both"/>
      </w:pPr>
      <w:r>
        <w:rPr>
          <w:rFonts w:hint="eastAsia"/>
          <w:lang w:val="en-US"/>
        </w:rPr>
        <w:t>本项目冬季工况的入口边界风速为</w:t>
      </w:r>
      <w:bookmarkStart w:id="88" w:name="冬季入口边界风速"/>
      <w:r>
        <w:rPr>
          <w:rFonts w:hint="eastAsia" w:ascii="Calibri" w:hAnsi="Calibri"/>
          <w:szCs w:val="21"/>
        </w:rPr>
        <w:t>1.90</w:t>
      </w:r>
      <w:bookmarkEnd w:id="88"/>
      <w:r>
        <w:rPr>
          <w:rFonts w:ascii="Calibri" w:hAnsi="Calibri"/>
          <w:szCs w:val="21"/>
        </w:rPr>
        <w:t>m/s</w:t>
      </w:r>
      <w:r>
        <w:rPr>
          <w:rFonts w:hint="eastAsia" w:ascii="Calibri" w:hAnsi="Calibri"/>
          <w:szCs w:val="21"/>
        </w:rPr>
        <w:t>，风向为</w:t>
      </w:r>
      <w:bookmarkStart w:id="89" w:name="冬季入口边界风向"/>
      <w:r>
        <w:rPr>
          <w:szCs w:val="21"/>
        </w:rPr>
        <w:t>E</w:t>
      </w:r>
      <w:bookmarkEnd w:id="89"/>
      <w:r>
        <w:rPr>
          <w:rFonts w:hint="eastAsia"/>
          <w:szCs w:val="21"/>
        </w:rPr>
        <w:t>。</w:t>
      </w:r>
    </w:p>
    <w:p>
      <w:pPr>
        <w:pStyle w:val="5"/>
      </w:pPr>
      <w:bookmarkStart w:id="90" w:name="_Toc509844751"/>
      <w:bookmarkStart w:id="91" w:name="_Toc15787"/>
      <w:r>
        <w:rPr>
          <w:rFonts w:hint="eastAsia"/>
        </w:rPr>
        <w:t>人行区域风速达标分析</w:t>
      </w:r>
      <w:bookmarkEnd w:id="90"/>
      <w:bookmarkEnd w:id="91"/>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92" w:name="冬季工况人行区风速分析结论"/>
      <w:bookmarkEnd w:id="92"/>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3" w:name="冬季工况人行区风速云图"/>
      <w:bookmarkEnd w:id="93"/>
      <w:r>
        <w:drawing>
          <wp:inline distT="0" distB="0" distL="0" distR="0">
            <wp:extent cx="5667375" cy="30194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5667375" cy="30194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4" w:name="_Toc509844752"/>
      <w:bookmarkStart w:id="95" w:name="_Toc27450"/>
      <w:r>
        <w:rPr>
          <w:rFonts w:hint="eastAsia"/>
        </w:rPr>
        <w:t>人行区域风速放大系数达标分析</w:t>
      </w:r>
      <w:bookmarkEnd w:id="94"/>
      <w:bookmarkEnd w:id="95"/>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6" w:name="冬季工况人行区风速放大系数分析结论"/>
      <w:bookmarkEnd w:id="96"/>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7" w:name="冬季工况人行区风速放大系数云图"/>
      <w:bookmarkEnd w:id="97"/>
      <w:r>
        <w:drawing>
          <wp:inline distT="0" distB="0" distL="0" distR="0">
            <wp:extent cx="5667375" cy="29813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3"/>
                    <a:stretch>
                      <a:fillRect/>
                    </a:stretch>
                  </pic:blipFill>
                  <pic:spPr>
                    <a:xfrm>
                      <a:off x="0" y="0"/>
                      <a:ext cx="5667375" cy="29813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8" w:name="_Toc13244"/>
      <w:r>
        <w:rPr>
          <w:rFonts w:hint="eastAsia"/>
        </w:rPr>
        <w:t>户外休息区、儿童娱乐区</w:t>
      </w:r>
      <w:r>
        <w:t>域风速达标分析</w:t>
      </w:r>
      <w:bookmarkEnd w:id="98"/>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bookmarkStart w:id="99" w:name="冬季工况休息区风速分析结论"/>
      <w:bookmarkEnd w:id="99"/>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100" w:name="冬季工况休息区风速云图"/>
      <w:bookmarkEnd w:id="100"/>
      <w:r>
        <w:drawing>
          <wp:inline distT="0" distB="0" distL="0" distR="0">
            <wp:extent cx="5667375" cy="30194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5667375" cy="30194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5"/>
      </w:pPr>
      <w:bookmarkStart w:id="101" w:name="_Toc1176"/>
      <w:r>
        <w:rPr>
          <w:rFonts w:hint="eastAsia"/>
        </w:rPr>
        <w:t>户外休息区、儿童娱乐区风速放大系数达标</w:t>
      </w:r>
      <w:r>
        <w:t>分析</w:t>
      </w:r>
      <w:bookmarkEnd w:id="101"/>
    </w:p>
    <w:p>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102" w:name="冬季工况户外休息区和儿童娱乐区风速放大系数分析结论"/>
      <w:bookmarkEnd w:id="102"/>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pPr>
        <w:pStyle w:val="13"/>
        <w:jc w:val="center"/>
      </w:pPr>
      <w:bookmarkStart w:id="103" w:name="冬季工况户外休息区和儿童娱乐区风速放大系数云图"/>
      <w:bookmarkEnd w:id="103"/>
      <w:r>
        <w:drawing>
          <wp:inline distT="0" distB="0" distL="0" distR="0">
            <wp:extent cx="5667375" cy="29813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5"/>
                    <a:stretch>
                      <a:fillRect/>
                    </a:stretch>
                  </pic:blipFill>
                  <pic:spPr>
                    <a:xfrm>
                      <a:off x="0" y="0"/>
                      <a:ext cx="5667375" cy="29813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4" w:name="_Toc509844753"/>
      <w:bookmarkStart w:id="105" w:name="_Toc30986"/>
      <w:r>
        <w:rPr>
          <w:rFonts w:hint="eastAsia"/>
        </w:rPr>
        <w:t>冬季工况风速/风速放大系数达标</w:t>
      </w:r>
      <w:bookmarkEnd w:id="104"/>
      <w:r>
        <w:rPr>
          <w:rFonts w:hint="eastAsia"/>
        </w:rPr>
        <w:t>结果汇总</w:t>
      </w:r>
      <w:bookmarkEnd w:id="105"/>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风速是否有超限区域"/>
            <w:r>
              <w:rPr>
                <w:rFonts w:hint="eastAsia" w:ascii="宋体" w:hAnsi="宋体" w:cs="宋体"/>
                <w:color w:val="000000"/>
                <w:sz w:val="22"/>
                <w:szCs w:val="22"/>
                <w:lang w:val="en-US"/>
              </w:rPr>
              <w:t>否</w:t>
            </w:r>
            <w:bookmarkEnd w:id="106"/>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风速达标判断"/>
            <w:r>
              <w:rPr>
                <w:rFonts w:hint="eastAsia" w:ascii="宋体" w:hAnsi="宋体" w:cs="宋体"/>
                <w:color w:val="000000"/>
                <w:sz w:val="22"/>
                <w:szCs w:val="22"/>
                <w:lang w:val="en-US"/>
              </w:rPr>
              <w:t>是</w:t>
            </w:r>
            <w:bookmarkEnd w:id="107"/>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8" w:name="冬季工况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9" w:name="冬季工况风速放大系数达标判断"/>
            <w:r>
              <w:rPr>
                <w:rFonts w:hint="eastAsia" w:ascii="宋体" w:hAnsi="宋体" w:cs="宋体"/>
                <w:color w:val="000000"/>
                <w:sz w:val="22"/>
                <w:szCs w:val="22"/>
                <w:lang w:val="en-US"/>
              </w:rPr>
              <w:t>是</w:t>
            </w:r>
            <w:bookmarkEnd w:id="109"/>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0" w:name="冬季工况休息区风速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1" w:name="冬季工况休息区风速达标判断"/>
            <w:r>
              <w:rPr>
                <w:rFonts w:hint="eastAsia" w:ascii="宋体" w:hAnsi="宋体" w:cs="宋体"/>
                <w:color w:val="000000"/>
                <w:sz w:val="22"/>
                <w:szCs w:val="22"/>
                <w:lang w:val="en-US"/>
              </w:rPr>
              <w:t>是</w:t>
            </w:r>
            <w:bookmarkEnd w:id="111"/>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12" w:name="冬季工况休息区和儿童娱乐区风速放大系数标准要求限值"/>
            <w:r>
              <w:rPr>
                <w:rFonts w:ascii="宋体" w:hAnsi="宋体" w:cs="宋体"/>
                <w:szCs w:val="21"/>
              </w:rPr>
              <w:t>2</w:t>
            </w:r>
            <w:bookmarkEnd w:id="112"/>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3" w:name="冬季工况户外休息区风速放大系数是否有超限区域"/>
            <w:r>
              <w:rPr>
                <w:rFonts w:hint="eastAsia" w:ascii="宋体" w:hAnsi="宋体" w:cs="宋体"/>
                <w:color w:val="000000"/>
                <w:sz w:val="22"/>
                <w:szCs w:val="22"/>
                <w:lang w:val="en-US"/>
              </w:rPr>
              <w:t>否</w:t>
            </w:r>
            <w:bookmarkEnd w:id="113"/>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4" w:name="冬季工况户外休息区风速放大系数达标判断"/>
            <w:r>
              <w:rPr>
                <w:rFonts w:hint="eastAsia" w:ascii="宋体" w:hAnsi="宋体" w:cs="宋体"/>
                <w:color w:val="000000"/>
                <w:sz w:val="22"/>
                <w:szCs w:val="22"/>
                <w:lang w:val="en-US"/>
              </w:rPr>
              <w:t>是</w:t>
            </w:r>
            <w:bookmarkEnd w:id="114"/>
          </w:p>
        </w:tc>
      </w:tr>
    </w:tbl>
    <w:p/>
    <w:p>
      <w:pPr>
        <w:pStyle w:val="5"/>
      </w:pPr>
      <w:bookmarkStart w:id="115" w:name="_Toc29717"/>
      <w:r>
        <w:rPr>
          <w:rFonts w:hint="eastAsia"/>
        </w:rPr>
        <w:t>建筑迎风面和背风面风压分析</w:t>
      </w:r>
      <w:bookmarkEnd w:id="18"/>
      <w:bookmarkEnd w:id="115"/>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1.1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6" w:name="冬季工况建筑迎风面风压云图"/>
      <w:bookmarkEnd w:id="116"/>
      <w:r>
        <w:drawing>
          <wp:inline distT="0" distB="0" distL="0" distR="0">
            <wp:extent cx="5667375" cy="31623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7"/>
                    <a:stretch>
                      <a:fillRect/>
                    </a:stretch>
                  </pic:blipFill>
                  <pic:spPr>
                    <a:xfrm>
                      <a:off x="0" y="0"/>
                      <a:ext cx="5667375" cy="31623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7" w:name="冬季工况建筑背风面风压云图"/>
      <w:bookmarkEnd w:id="117"/>
      <w:r>
        <w:drawing>
          <wp:inline distT="0" distB="0" distL="0" distR="0">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a:stretch>
                      <a:fillRect/>
                    </a:stretch>
                  </pic:blipFill>
                  <pic:spPr>
                    <a:xfrm>
                      <a:off x="0" y="0"/>
                      <a:ext cx="5667375" cy="31908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8" w:name="建筑迎风面和背风面风压差计算结果"/>
      <w:r>
        <w:rPr>
          <w:rFonts w:hint="eastAsia"/>
        </w:rPr>
        <w:t>建筑迎风面和背风面风压差计算结果</w:t>
      </w:r>
    </w:p>
    <w:p>
      <w:pPr>
        <w:jc w:val="center"/>
        <w:rPr>
          <w:rFonts w:ascii="Cambria" w:hAnsi="Cambria" w:eastAsia="黑体"/>
          <w:sz w:val="20"/>
        </w:rPr>
      </w:pPr>
      <w:bookmarkStart w:id="119"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20" w:name="建筑迎背风面风压差表_建筑名"/>
      <w:r>
        <w:rPr>
          <w:rFonts w:ascii="Cambria" w:hAnsi="Cambria" w:eastAsia="黑体"/>
          <w:sz w:val="20"/>
        </w:rPr>
        <w:t>景观最终</w:t>
      </w:r>
      <w:bookmarkEnd w:id="120"/>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-0.19</w:t>
            </w:r>
          </w:p>
        </w:tc>
      </w:tr>
      <w:bookmarkEnd w:id="119"/>
    </w:tbl>
    <w:p>
      <w:bookmarkStart w:id="121" w:name="结论"/>
      <w:bookmarkEnd w:id="121"/>
      <w:r>
        <w:t>结论：迎风第一排建筑，</w:t>
      </w:r>
      <w:r>
        <w:rPr>
          <w:b/>
          <w:color w:val="00FF00"/>
        </w:rPr>
        <w:t>标准未做要求</w:t>
      </w:r>
      <w:r>
        <w:t>。</w:t>
      </w:r>
    </w:p>
    <w:bookmarkEnd w:id="118"/>
    <w:p>
      <w:pPr>
        <w:jc w:val="center"/>
        <w:rPr>
          <w:rFonts w:ascii="Cambria" w:hAnsi="Cambria" w:eastAsia="黑体"/>
          <w:sz w:val="20"/>
        </w:rPr>
      </w:pPr>
      <w:bookmarkStart w:id="122" w:name="建筑迎背风面风压差表_新增"/>
      <w:bookmarkEnd w:id="122"/>
    </w:p>
    <w:bookmarkEnd w:id="25"/>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23"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景观最终</w:t>
            </w:r>
          </w:p>
        </w:tc>
        <w:tc>
          <w:tcPr>
            <w:tcW w:w="1276" w:type="dxa"/>
            <w:shd w:val="clear" w:color="auto" w:fill="auto"/>
            <w:vAlign w:val="center"/>
          </w:tcPr>
          <w:p>
            <w:pPr>
              <w:jc w:val="center"/>
              <w:rPr>
                <w:lang w:val="en-US"/>
              </w:rPr>
            </w:pPr>
            <w:r>
              <w:rPr>
                <w:lang w:val="en-US"/>
              </w:rPr>
              <w:t>-0.61</w:t>
            </w:r>
          </w:p>
        </w:tc>
        <w:tc>
          <w:tcPr>
            <w:tcW w:w="1276" w:type="dxa"/>
            <w:shd w:val="clear" w:color="auto" w:fill="auto"/>
            <w:vAlign w:val="center"/>
          </w:tcPr>
          <w:p>
            <w:pPr>
              <w:jc w:val="center"/>
              <w:rPr>
                <w:lang w:val="en-US"/>
              </w:rPr>
            </w:pPr>
            <w:r>
              <w:rPr>
                <w:lang w:val="en-US"/>
              </w:rPr>
              <w:t>-0.42</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-0.08</w:t>
            </w:r>
          </w:p>
        </w:tc>
        <w:tc>
          <w:tcPr>
            <w:tcW w:w="1276" w:type="dxa"/>
            <w:shd w:val="clear" w:color="auto" w:fill="auto"/>
            <w:vAlign w:val="center"/>
          </w:tcPr>
          <w:p>
            <w:pPr>
              <w:jc w:val="center"/>
              <w:rPr>
                <w:lang w:val="en-US"/>
              </w:rPr>
            </w:pPr>
            <w:r>
              <w:rPr>
                <w:lang w:val="en-US"/>
              </w:rPr>
              <w:t>-0.29</w:t>
            </w:r>
          </w:p>
        </w:tc>
        <w:tc>
          <w:tcPr>
            <w:tcW w:w="1701" w:type="dxa"/>
            <w:shd w:val="clear" w:color="auto" w:fill="auto"/>
            <w:vAlign w:val="center"/>
          </w:tcPr>
          <w:p>
            <w:pPr>
              <w:jc w:val="center"/>
              <w:rPr>
                <w:lang w:val="en-US"/>
              </w:rPr>
            </w:pPr>
            <w:r>
              <w:rPr>
                <w:lang w:val="en-US"/>
              </w:rPr>
              <w:t>0.21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未命名(3A1A)</w:t>
            </w:r>
          </w:p>
        </w:tc>
        <w:tc>
          <w:tcPr>
            <w:tcW w:w="1276" w:type="dxa"/>
            <w:shd w:val="clear" w:color="auto" w:fill="auto"/>
            <w:vAlign w:val="center"/>
          </w:tcPr>
          <w:p>
            <w:pPr>
              <w:jc w:val="center"/>
              <w:rPr>
                <w:lang w:val="en-US"/>
              </w:rPr>
            </w:pPr>
            <w:r>
              <w:rPr>
                <w:lang w:val="en-US"/>
              </w:rPr>
              <w:t>0.04</w:t>
            </w:r>
          </w:p>
        </w:tc>
        <w:tc>
          <w:tcPr>
            <w:tcW w:w="1276" w:type="dxa"/>
            <w:shd w:val="clear" w:color="auto" w:fill="auto"/>
            <w:vAlign w:val="center"/>
          </w:tcPr>
          <w:p>
            <w:pPr>
              <w:jc w:val="center"/>
              <w:rPr>
                <w:lang w:val="en-US"/>
              </w:rPr>
            </w:pPr>
            <w:r>
              <w:rPr>
                <w:lang w:val="en-US"/>
              </w:rPr>
              <w:t>-0.46</w:t>
            </w:r>
          </w:p>
        </w:tc>
        <w:tc>
          <w:tcPr>
            <w:tcW w:w="1701" w:type="dxa"/>
            <w:shd w:val="clear" w:color="auto" w:fill="auto"/>
            <w:vAlign w:val="center"/>
          </w:tcPr>
          <w:p>
            <w:pPr>
              <w:jc w:val="center"/>
              <w:rPr>
                <w:lang w:val="en-US"/>
              </w:rPr>
            </w:pPr>
            <w:r>
              <w:rPr>
                <w:lang w:val="en-US"/>
              </w:rPr>
              <w:t>0.50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未命名(3A37)</w:t>
            </w:r>
          </w:p>
        </w:tc>
        <w:tc>
          <w:tcPr>
            <w:tcW w:w="1276" w:type="dxa"/>
            <w:shd w:val="clear" w:color="auto" w:fill="auto"/>
            <w:vAlign w:val="center"/>
          </w:tcPr>
          <w:p>
            <w:pPr>
              <w:jc w:val="center"/>
              <w:rPr>
                <w:lang w:val="en-US"/>
              </w:rPr>
            </w:pPr>
            <w:r>
              <w:rPr>
                <w:lang w:val="en-US"/>
              </w:rPr>
              <w:t>0.59</w:t>
            </w:r>
          </w:p>
        </w:tc>
        <w:tc>
          <w:tcPr>
            <w:tcW w:w="1276" w:type="dxa"/>
            <w:shd w:val="clear" w:color="auto" w:fill="auto"/>
            <w:vAlign w:val="center"/>
          </w:tcPr>
          <w:p>
            <w:pPr>
              <w:jc w:val="center"/>
              <w:rPr>
                <w:lang w:val="en-US"/>
              </w:rPr>
            </w:pPr>
            <w:r>
              <w:rPr>
                <w:lang w:val="en-US"/>
              </w:rPr>
              <w:t>-0.66</w:t>
            </w:r>
          </w:p>
        </w:tc>
        <w:tc>
          <w:tcPr>
            <w:tcW w:w="1701" w:type="dxa"/>
            <w:shd w:val="clear" w:color="auto" w:fill="auto"/>
            <w:vAlign w:val="center"/>
          </w:tcPr>
          <w:p>
            <w:pPr>
              <w:jc w:val="center"/>
              <w:rPr>
                <w:lang w:val="en-US"/>
              </w:rPr>
            </w:pPr>
            <w:r>
              <w:rPr>
                <w:lang w:val="en-US"/>
              </w:rPr>
              <w:t>1.24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未命名(3A71)</w:t>
            </w:r>
          </w:p>
        </w:tc>
        <w:tc>
          <w:tcPr>
            <w:tcW w:w="1276" w:type="dxa"/>
            <w:shd w:val="clear" w:color="auto" w:fill="auto"/>
            <w:vAlign w:val="center"/>
          </w:tcPr>
          <w:p>
            <w:pPr>
              <w:jc w:val="center"/>
              <w:rPr>
                <w:lang w:val="en-US"/>
              </w:rPr>
            </w:pPr>
            <w:r>
              <w:rPr>
                <w:lang w:val="en-US"/>
              </w:rPr>
              <w:t>-0.13</w:t>
            </w:r>
          </w:p>
        </w:tc>
        <w:tc>
          <w:tcPr>
            <w:tcW w:w="1276" w:type="dxa"/>
            <w:shd w:val="clear" w:color="auto" w:fill="auto"/>
            <w:vAlign w:val="center"/>
          </w:tcPr>
          <w:p>
            <w:pPr>
              <w:jc w:val="center"/>
              <w:rPr>
                <w:lang w:val="en-US"/>
              </w:rPr>
            </w:pPr>
            <w:r>
              <w:rPr>
                <w:lang w:val="en-US"/>
              </w:rPr>
              <w:t>-0.73</w:t>
            </w:r>
          </w:p>
        </w:tc>
        <w:tc>
          <w:tcPr>
            <w:tcW w:w="1701" w:type="dxa"/>
            <w:shd w:val="clear" w:color="auto" w:fill="auto"/>
            <w:vAlign w:val="center"/>
          </w:tcPr>
          <w:p>
            <w:pPr>
              <w:jc w:val="center"/>
              <w:rPr>
                <w:lang w:val="en-US"/>
              </w:rPr>
            </w:pPr>
            <w:r>
              <w:rPr>
                <w:lang w:val="en-US"/>
              </w:rPr>
              <w:t>0.60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未命名(3A8E)</w:t>
            </w:r>
          </w:p>
        </w:tc>
        <w:tc>
          <w:tcPr>
            <w:tcW w:w="1276" w:type="dxa"/>
            <w:shd w:val="clear" w:color="auto" w:fill="auto"/>
            <w:vAlign w:val="center"/>
          </w:tcPr>
          <w:p>
            <w:pPr>
              <w:jc w:val="center"/>
              <w:rPr>
                <w:lang w:val="en-US"/>
              </w:rPr>
            </w:pPr>
            <w:r>
              <w:rPr>
                <w:lang w:val="en-US"/>
              </w:rPr>
              <w:t>0.26</w:t>
            </w:r>
          </w:p>
        </w:tc>
        <w:tc>
          <w:tcPr>
            <w:tcW w:w="1276" w:type="dxa"/>
            <w:shd w:val="clear" w:color="auto" w:fill="auto"/>
            <w:vAlign w:val="center"/>
          </w:tcPr>
          <w:p>
            <w:pPr>
              <w:jc w:val="center"/>
              <w:rPr>
                <w:lang w:val="en-US"/>
              </w:rPr>
            </w:pPr>
            <w:r>
              <w:rPr>
                <w:lang w:val="en-US"/>
              </w:rPr>
              <w:t>-0.85</w:t>
            </w:r>
          </w:p>
        </w:tc>
        <w:tc>
          <w:tcPr>
            <w:tcW w:w="1701" w:type="dxa"/>
            <w:shd w:val="clear" w:color="auto" w:fill="auto"/>
            <w:vAlign w:val="center"/>
          </w:tcPr>
          <w:p>
            <w:pPr>
              <w:jc w:val="center"/>
              <w:rPr>
                <w:lang w:val="en-US"/>
              </w:rPr>
            </w:pPr>
            <w:r>
              <w:rPr>
                <w:lang w:val="en-US"/>
              </w:rPr>
              <w:t>1.11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未命名(3B02)</w:t>
            </w:r>
          </w:p>
        </w:tc>
        <w:tc>
          <w:tcPr>
            <w:tcW w:w="1276" w:type="dxa"/>
            <w:shd w:val="clear" w:color="auto" w:fill="auto"/>
            <w:vAlign w:val="center"/>
          </w:tcPr>
          <w:p>
            <w:pPr>
              <w:jc w:val="center"/>
              <w:rPr>
                <w:lang w:val="en-US"/>
              </w:rPr>
            </w:pPr>
            <w:r>
              <w:rPr>
                <w:lang w:val="en-US"/>
              </w:rPr>
              <w:t>-0.10</w:t>
            </w:r>
          </w:p>
        </w:tc>
        <w:tc>
          <w:tcPr>
            <w:tcW w:w="1276" w:type="dxa"/>
            <w:shd w:val="clear" w:color="auto" w:fill="auto"/>
            <w:vAlign w:val="center"/>
          </w:tcPr>
          <w:p>
            <w:pPr>
              <w:jc w:val="center"/>
              <w:rPr>
                <w:lang w:val="en-US"/>
              </w:rPr>
            </w:pPr>
            <w:r>
              <w:rPr>
                <w:lang w:val="en-US"/>
              </w:rPr>
              <w:t>-0.65</w:t>
            </w:r>
          </w:p>
        </w:tc>
        <w:tc>
          <w:tcPr>
            <w:tcW w:w="1701" w:type="dxa"/>
            <w:shd w:val="clear" w:color="auto" w:fill="auto"/>
            <w:vAlign w:val="center"/>
          </w:tcPr>
          <w:p>
            <w:pPr>
              <w:jc w:val="center"/>
              <w:rPr>
                <w:lang w:val="en-US"/>
              </w:rPr>
            </w:pPr>
            <w:r>
              <w:rPr>
                <w:lang w:val="en-US"/>
              </w:rPr>
              <w:t>0.55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未命名(4B6D)</w:t>
            </w:r>
          </w:p>
        </w:tc>
        <w:tc>
          <w:tcPr>
            <w:tcW w:w="1276" w:type="dxa"/>
            <w:shd w:val="clear" w:color="auto" w:fill="auto"/>
            <w:vAlign w:val="center"/>
          </w:tcPr>
          <w:p>
            <w:pPr>
              <w:jc w:val="center"/>
              <w:rPr>
                <w:lang w:val="en-US"/>
              </w:rPr>
            </w:pPr>
            <w:r>
              <w:rPr>
                <w:lang w:val="en-US"/>
              </w:rPr>
              <w:t>0.00</w:t>
            </w:r>
          </w:p>
        </w:tc>
        <w:tc>
          <w:tcPr>
            <w:tcW w:w="1276" w:type="dxa"/>
            <w:shd w:val="clear" w:color="auto" w:fill="auto"/>
            <w:vAlign w:val="center"/>
          </w:tcPr>
          <w:p>
            <w:pPr>
              <w:jc w:val="center"/>
              <w:rPr>
                <w:lang w:val="en-US"/>
              </w:rPr>
            </w:pPr>
            <w:r>
              <w:rPr>
                <w:lang w:val="en-US"/>
              </w:rPr>
              <w:t>-0.61</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bookmarkEnd w:id="123"/>
    </w:tbl>
    <w:p>
      <w:pPr>
        <w:rPr>
          <w:lang w:val="en-US"/>
        </w:rPr>
      </w:pPr>
      <w:bookmarkStart w:id="124" w:name="建筑迎风和背风面风压差结论汇总结论"/>
      <w:bookmarkEnd w:id="124"/>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25" w:name="冬季工况"/>
      <w:bookmarkEnd w:id="125"/>
      <w:r>
        <w:rPr>
          <w:rFonts w:hint="eastAsia"/>
          <w:lang w:val="en-US"/>
        </w:rPr>
        <w:t xml:space="preserve"> </w:t>
      </w:r>
    </w:p>
    <w:p>
      <w:pPr>
        <w:pStyle w:val="4"/>
      </w:pPr>
      <w:bookmarkStart w:id="126" w:name="_Toc509844759"/>
      <w:bookmarkStart w:id="127" w:name="_Toc4478"/>
      <w:r>
        <w:rPr>
          <w:rFonts w:hint="eastAsia"/>
        </w:rPr>
        <w:t>夏季工况</w:t>
      </w:r>
      <w:bookmarkEnd w:id="126"/>
      <w:bookmarkEnd w:id="127"/>
    </w:p>
    <w:p>
      <w:pPr>
        <w:pStyle w:val="3"/>
        <w:ind w:firstLine="420"/>
      </w:pPr>
      <w:r>
        <w:rPr>
          <w:rFonts w:hint="eastAsia"/>
          <w:lang w:val="en-US"/>
        </w:rPr>
        <w:t>本项目夏季</w:t>
      </w:r>
      <w:bookmarkEnd w:id="2"/>
      <w:r>
        <w:rPr>
          <w:rFonts w:hint="eastAsia"/>
          <w:lang w:val="en-US"/>
        </w:rPr>
        <w:t>工况的入口边界风速为</w:t>
      </w:r>
      <w:bookmarkStart w:id="128" w:name="入口边界风速"/>
      <w:r>
        <w:rPr>
          <w:rFonts w:hint="eastAsia"/>
          <w:lang w:val="en-US"/>
        </w:rPr>
        <w:t>2.60</w:t>
      </w:r>
      <w:bookmarkEnd w:id="128"/>
      <w:r>
        <w:rPr>
          <w:rFonts w:hint="eastAsia"/>
          <w:lang w:val="en-US"/>
        </w:rPr>
        <w:t>m/s，风向为</w:t>
      </w:r>
      <w:bookmarkStart w:id="129" w:name="入口边界风向"/>
      <w:r>
        <w:t>S</w:t>
      </w:r>
      <w:bookmarkEnd w:id="129"/>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30" w:name="季节4"/>
      <w:r>
        <w:rPr>
          <w:rFonts w:hint="eastAsia"/>
          <w:lang w:val="en-US"/>
        </w:rPr>
        <w:t>夏季</w:t>
      </w:r>
      <w:bookmarkEnd w:id="130"/>
      <w:r>
        <w:rPr>
          <w:rFonts w:hint="eastAsia"/>
          <w:lang w:val="en-US"/>
        </w:rPr>
        <w:t>形成有效的巷道风，优化街区自然通风环境，避免</w:t>
      </w:r>
      <w:bookmarkStart w:id="131" w:name="季节5"/>
      <w:r>
        <w:rPr>
          <w:rFonts w:hint="eastAsia"/>
          <w:lang w:val="en-US"/>
        </w:rPr>
        <w:t>夏季</w:t>
      </w:r>
      <w:bookmarkEnd w:id="131"/>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32" w:name="_Toc509844760"/>
      <w:bookmarkStart w:id="133" w:name="_Toc1686"/>
      <w:r>
        <w:rPr>
          <w:rFonts w:hint="eastAsia"/>
        </w:rPr>
        <w:t>人活动区域无风区计算分析</w:t>
      </w:r>
      <w:bookmarkEnd w:id="132"/>
      <w:bookmarkEnd w:id="133"/>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4" w:name="人活动区风速分析结论"/>
      <w:bookmarkEnd w:id="134"/>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bookmarkStart w:id="135" w:name="人行区风速云图"/>
      <w:bookmarkEnd w:id="135"/>
      <w:r>
        <w:drawing>
          <wp:inline distT="0" distB="0" distL="0" distR="0">
            <wp:extent cx="5667375" cy="30194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9"/>
                    <a:stretch>
                      <a:fillRect/>
                    </a:stretch>
                  </pic:blipFill>
                  <pic:spPr>
                    <a:xfrm>
                      <a:off x="0" y="0"/>
                      <a:ext cx="5667375" cy="30194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6" w:name="季节6"/>
      <w:r>
        <w:rPr>
          <w:rFonts w:hint="eastAsia" w:ascii="黑体" w:hAnsi="黑体" w:eastAsia="黑体"/>
          <w:sz w:val="20"/>
          <w:szCs w:val="20"/>
        </w:rPr>
        <w:t>夏季</w:t>
      </w:r>
      <w:bookmarkEnd w:id="136"/>
      <w:r>
        <w:rPr>
          <w:rFonts w:hint="eastAsia"/>
        </w:rPr>
        <w:t xml:space="preserve"> </w:t>
      </w:r>
    </w:p>
    <w:p>
      <w:pPr>
        <w:pStyle w:val="3"/>
        <w:ind w:firstLine="420"/>
      </w:pPr>
    </w:p>
    <w:p>
      <w:pPr>
        <w:pStyle w:val="5"/>
      </w:pPr>
      <w:bookmarkStart w:id="137" w:name="_Toc509844761"/>
      <w:bookmarkStart w:id="138" w:name="_Toc5252"/>
      <w:r>
        <w:rPr>
          <w:rFonts w:hint="eastAsia"/>
        </w:rPr>
        <w:t>人活动区域旋涡区分析</w:t>
      </w:r>
      <w:bookmarkEnd w:id="137"/>
      <w:bookmarkEnd w:id="138"/>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lang w:val="en-US"/>
        </w:rPr>
      </w:pPr>
      <w:bookmarkStart w:id="139" w:name="人行区风速矢量图"/>
      <w:bookmarkEnd w:id="139"/>
      <w:r>
        <w:drawing>
          <wp:inline distT="0" distB="0" distL="0" distR="0">
            <wp:extent cx="5667375" cy="31813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0"/>
                    <a:stretch>
                      <a:fillRect/>
                    </a:stretch>
                  </pic:blipFill>
                  <pic:spPr>
                    <a:xfrm>
                      <a:off x="0" y="0"/>
                      <a:ext cx="5667375" cy="318135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40" w:name="_Toc509844762"/>
      <w:bookmarkStart w:id="141" w:name="_Toc25481"/>
      <w:r>
        <w:rPr>
          <w:rFonts w:hint="eastAsia"/>
        </w:rPr>
        <w:t>人活动区域旋涡区/无风区达标</w:t>
      </w:r>
      <w:bookmarkEnd w:id="140"/>
      <w:r>
        <w:rPr>
          <w:rFonts w:hint="eastAsia"/>
        </w:rPr>
        <w:t>结果汇总</w:t>
      </w:r>
      <w:bookmarkEnd w:id="14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2" w:name="季节8"/>
      <w:r>
        <w:rPr>
          <w:rFonts w:hint="eastAsia" w:ascii="黑体" w:hAnsi="黑体" w:eastAsia="黑体"/>
          <w:sz w:val="20"/>
          <w:szCs w:val="20"/>
        </w:rPr>
        <w:t>夏季</w:t>
      </w:r>
      <w:bookmarkEnd w:id="14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3" w:name="是否有无风区"/>
            <w:r>
              <w:rPr>
                <w:rFonts w:hint="eastAsia" w:ascii="宋体" w:hAnsi="宋体" w:cs="宋体"/>
                <w:color w:val="FF0000"/>
                <w:sz w:val="22"/>
                <w:szCs w:val="22"/>
                <w:lang w:val="en-US"/>
              </w:rPr>
              <w:t>是</w:t>
            </w:r>
            <w:bookmarkEnd w:id="143"/>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4" w:name="无风区达标判断"/>
            <w:r>
              <w:rPr>
                <w:rFonts w:hint="eastAsia" w:ascii="宋体" w:hAnsi="宋体" w:cs="宋体"/>
                <w:color w:val="FF0000"/>
                <w:sz w:val="22"/>
                <w:szCs w:val="22"/>
                <w:lang w:val="en-US"/>
              </w:rPr>
              <w:t>否</w:t>
            </w:r>
            <w:bookmarkEnd w:id="144"/>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5" w:name="是否有旋涡区"/>
            <w:r>
              <w:rPr>
                <w:rFonts w:ascii="宋体" w:hAnsi="宋体" w:cs="宋体"/>
                <w:color w:val="000000"/>
                <w:sz w:val="22"/>
                <w:szCs w:val="22"/>
                <w:lang w:val="en-US"/>
              </w:rPr>
              <w:t>否</w:t>
            </w:r>
            <w:bookmarkEnd w:id="145"/>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6" w:name="旋涡区达标判断"/>
            <w:r>
              <w:rPr>
                <w:rFonts w:ascii="宋体" w:hAnsi="宋体" w:cs="宋体"/>
                <w:color w:val="000000"/>
                <w:sz w:val="22"/>
                <w:szCs w:val="22"/>
                <w:lang w:val="en-US"/>
              </w:rPr>
              <w:t>是</w:t>
            </w:r>
            <w:bookmarkEnd w:id="146"/>
          </w:p>
        </w:tc>
      </w:tr>
    </w:tbl>
    <w:p>
      <w:pPr>
        <w:pStyle w:val="5"/>
      </w:pPr>
      <w:bookmarkStart w:id="147" w:name="_Toc504501018"/>
      <w:bookmarkStart w:id="148" w:name="_Toc509844763"/>
      <w:bookmarkStart w:id="149" w:name="_Toc2746"/>
      <w:r>
        <w:rPr>
          <w:rFonts w:hint="eastAsia"/>
        </w:rPr>
        <w:t>外窗内外表面风压</w:t>
      </w:r>
      <w:bookmarkEnd w:id="147"/>
      <w:r>
        <w:rPr>
          <w:rFonts w:hint="eastAsia"/>
        </w:rPr>
        <w:t>差达标分析</w:t>
      </w:r>
      <w:bookmarkEnd w:id="148"/>
      <w:bookmarkEnd w:id="149"/>
    </w:p>
    <w:p>
      <w:pPr>
        <w:pStyle w:val="3"/>
        <w:ind w:firstLine="420"/>
      </w:pPr>
      <w:r>
        <w:rPr>
          <w:rFonts w:hint="eastAsia"/>
          <w:lang w:val="en-US"/>
        </w:rPr>
        <w:t>分析《绿色建筑评价标准》，</w:t>
      </w:r>
      <w:bookmarkStart w:id="150" w:name="季节9"/>
      <w:r>
        <w:rPr>
          <w:rFonts w:hint="eastAsia"/>
          <w:lang w:val="en-US"/>
        </w:rPr>
        <w:t>夏季</w:t>
      </w:r>
      <w:bookmarkEnd w:id="150"/>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51" w:name="迎风面风压云图"/>
      <w:bookmarkEnd w:id="151"/>
      <w:r>
        <w:drawing>
          <wp:inline distT="0" distB="0" distL="0" distR="0">
            <wp:extent cx="5667375" cy="31623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1"/>
                    <a:stretch>
                      <a:fillRect/>
                    </a:stretch>
                  </pic:blipFill>
                  <pic:spPr>
                    <a:xfrm>
                      <a:off x="0" y="0"/>
                      <a:ext cx="5667375" cy="31623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52" w:name="季节10"/>
      <w:r>
        <w:rPr>
          <w:rFonts w:hint="eastAsia" w:ascii="黑体" w:hAnsi="黑体" w:eastAsia="黑体"/>
          <w:sz w:val="20"/>
          <w:szCs w:val="20"/>
        </w:rPr>
        <w:t>夏季</w:t>
      </w:r>
      <w:bookmarkEnd w:id="152"/>
    </w:p>
    <w:p>
      <w:pPr>
        <w:pStyle w:val="13"/>
        <w:jc w:val="center"/>
      </w:pPr>
      <w:bookmarkStart w:id="153" w:name="背风面风压云图"/>
      <w:bookmarkEnd w:id="153"/>
      <w: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2"/>
                    <a:stretch>
                      <a:fillRect/>
                    </a:stretch>
                  </pic:blipFill>
                  <pic:spPr>
                    <a:xfrm>
                      <a:off x="0" y="0"/>
                      <a:ext cx="5667375" cy="319087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4" w:name="季节11"/>
      <w:r>
        <w:rPr>
          <w:rFonts w:hint="eastAsia" w:ascii="黑体" w:hAnsi="黑体" w:eastAsia="黑体"/>
          <w:sz w:val="20"/>
          <w:szCs w:val="20"/>
        </w:rPr>
        <w:t>夏季</w:t>
      </w:r>
      <w:bookmarkEnd w:id="154"/>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55"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DT单体(景观最终)</w:t>
            </w:r>
          </w:p>
        </w:tc>
        <w:tc>
          <w:tcPr>
            <w:tcW w:w="1134" w:type="dxa"/>
            <w:shd w:val="clear" w:color="auto" w:fill="auto"/>
            <w:vAlign w:val="center"/>
          </w:tcPr>
          <w:p>
            <w:pPr>
              <w:jc w:val="center"/>
              <w:rPr>
                <w:lang w:val="en-US"/>
              </w:rPr>
            </w:pPr>
            <w:r>
              <w:rPr>
                <w:lang w:val="en-US"/>
              </w:rPr>
              <w:t>37</w:t>
            </w:r>
          </w:p>
        </w:tc>
        <w:tc>
          <w:tcPr>
            <w:tcW w:w="1984" w:type="dxa"/>
            <w:shd w:val="clear" w:color="auto" w:fill="auto"/>
            <w:vAlign w:val="center"/>
          </w:tcPr>
          <w:p>
            <w:pPr>
              <w:jc w:val="center"/>
              <w:rPr>
                <w:lang w:val="en-US"/>
              </w:rPr>
            </w:pPr>
            <w:r>
              <w:rPr>
                <w:lang w:val="en-US"/>
              </w:rPr>
              <w:t>18</w:t>
            </w:r>
          </w:p>
        </w:tc>
        <w:tc>
          <w:tcPr>
            <w:tcW w:w="1116" w:type="dxa"/>
            <w:shd w:val="clear" w:color="auto" w:fill="auto"/>
            <w:vAlign w:val="center"/>
          </w:tcPr>
          <w:p>
            <w:pPr>
              <w:jc w:val="center"/>
              <w:rPr>
                <w:lang w:val="en-US"/>
              </w:rPr>
            </w:pPr>
            <w:r>
              <w:rPr>
                <w:lang w:val="en-US"/>
              </w:rPr>
              <w:t>48.65</w:t>
            </w:r>
          </w:p>
        </w:tc>
        <w:tc>
          <w:tcPr>
            <w:tcW w:w="708" w:type="dxa"/>
            <w:shd w:val="clear" w:color="auto" w:fill="auto"/>
            <w:vAlign w:val="center"/>
          </w:tcPr>
          <w:p>
            <w:pPr>
              <w:jc w:val="center"/>
              <w:rPr>
                <w:lang w:val="en-US"/>
              </w:rPr>
            </w:pPr>
            <w:r>
              <w:rPr>
                <w:color w:val="FF0000"/>
                <w:lang w:val="en-US"/>
              </w:rPr>
              <w:t>否</w:t>
            </w:r>
          </w:p>
        </w:tc>
      </w:tr>
      <w:bookmarkEnd w:id="155"/>
    </w:tbl>
    <w:p>
      <w:r>
        <w:rPr>
          <w:rFonts w:hint="eastAsia"/>
          <w:lang w:val="en-US"/>
        </w:rPr>
        <w:t>说明：达标比例＝（室内外风压差大于0.5Pa的总数/可开启外窗总数）*100％</w:t>
      </w:r>
    </w:p>
    <w:bookmarkEnd w:id="3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bookmarkStart w:id="156" w:name="建筑室内外风压差达标判定"/>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3823.65</w:t>
            </w:r>
          </w:p>
        </w:tc>
        <w:tc>
          <w:tcPr>
            <w:tcW w:w="2552" w:type="dxa"/>
            <w:vAlign w:val="center"/>
          </w:tcPr>
          <w:p>
            <w:pPr>
              <w:spacing w:line="360" w:lineRule="exact"/>
              <w:jc w:val="center"/>
              <w:rPr>
                <w:lang w:val="en-US"/>
              </w:rPr>
            </w:pPr>
            <w:r>
              <w:rPr>
                <w:lang w:val="en-US"/>
              </w:rPr>
              <w:t>2716.17</w:t>
            </w:r>
          </w:p>
        </w:tc>
        <w:tc>
          <w:tcPr>
            <w:tcW w:w="1134" w:type="dxa"/>
            <w:vAlign w:val="center"/>
          </w:tcPr>
          <w:p>
            <w:pPr>
              <w:spacing w:line="360" w:lineRule="exact"/>
              <w:jc w:val="center"/>
              <w:rPr>
                <w:lang w:val="en-US"/>
              </w:rPr>
            </w:pPr>
            <w:r>
              <w:rPr>
                <w:lang w:val="en-US"/>
              </w:rPr>
              <w:t>71.04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未命名(3A1A)</w:t>
            </w:r>
          </w:p>
        </w:tc>
        <w:tc>
          <w:tcPr>
            <w:tcW w:w="1417" w:type="dxa"/>
            <w:vAlign w:val="center"/>
          </w:tcPr>
          <w:p>
            <w:pPr>
              <w:spacing w:line="360" w:lineRule="exact"/>
              <w:jc w:val="center"/>
              <w:rPr>
                <w:lang w:val="en-US"/>
              </w:rPr>
            </w:pPr>
            <w:r>
              <w:rPr>
                <w:lang w:val="en-US"/>
              </w:rPr>
              <w:t>998.25</w:t>
            </w:r>
          </w:p>
        </w:tc>
        <w:tc>
          <w:tcPr>
            <w:tcW w:w="2552" w:type="dxa"/>
            <w:vAlign w:val="center"/>
          </w:tcPr>
          <w:p>
            <w:pPr>
              <w:spacing w:line="360" w:lineRule="exact"/>
              <w:jc w:val="center"/>
              <w:rPr>
                <w:lang w:val="en-US"/>
              </w:rPr>
            </w:pPr>
            <w:r>
              <w:rPr>
                <w:lang w:val="en-US"/>
              </w:rPr>
              <w:t>957.96</w:t>
            </w:r>
          </w:p>
        </w:tc>
        <w:tc>
          <w:tcPr>
            <w:tcW w:w="1134" w:type="dxa"/>
            <w:vAlign w:val="center"/>
          </w:tcPr>
          <w:p>
            <w:pPr>
              <w:spacing w:line="360" w:lineRule="exact"/>
              <w:jc w:val="center"/>
              <w:rPr>
                <w:lang w:val="en-US"/>
              </w:rPr>
            </w:pPr>
            <w:r>
              <w:rPr>
                <w:lang w:val="en-US"/>
              </w:rPr>
              <w:t>95.96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未命名(3A37)</w:t>
            </w:r>
          </w:p>
        </w:tc>
        <w:tc>
          <w:tcPr>
            <w:tcW w:w="1417" w:type="dxa"/>
            <w:vAlign w:val="center"/>
          </w:tcPr>
          <w:p>
            <w:pPr>
              <w:spacing w:line="360" w:lineRule="exact"/>
              <w:jc w:val="center"/>
              <w:rPr>
                <w:lang w:val="en-US"/>
              </w:rPr>
            </w:pPr>
            <w:r>
              <w:rPr>
                <w:lang w:val="en-US"/>
              </w:rPr>
              <w:t>783.66</w:t>
            </w:r>
          </w:p>
        </w:tc>
        <w:tc>
          <w:tcPr>
            <w:tcW w:w="2552" w:type="dxa"/>
            <w:vAlign w:val="center"/>
          </w:tcPr>
          <w:p>
            <w:pPr>
              <w:spacing w:line="360" w:lineRule="exact"/>
              <w:jc w:val="center"/>
              <w:rPr>
                <w:lang w:val="en-US"/>
              </w:rPr>
            </w:pPr>
            <w:r>
              <w:rPr>
                <w:lang w:val="en-US"/>
              </w:rPr>
              <w:t>755.89</w:t>
            </w:r>
          </w:p>
        </w:tc>
        <w:tc>
          <w:tcPr>
            <w:tcW w:w="1134" w:type="dxa"/>
            <w:vAlign w:val="center"/>
          </w:tcPr>
          <w:p>
            <w:pPr>
              <w:spacing w:line="360" w:lineRule="exact"/>
              <w:jc w:val="center"/>
              <w:rPr>
                <w:lang w:val="en-US"/>
              </w:rPr>
            </w:pPr>
            <w:r>
              <w:rPr>
                <w:lang w:val="en-US"/>
              </w:rPr>
              <w:t>96.46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未命名(3A71)</w:t>
            </w:r>
          </w:p>
        </w:tc>
        <w:tc>
          <w:tcPr>
            <w:tcW w:w="1417" w:type="dxa"/>
            <w:vAlign w:val="center"/>
          </w:tcPr>
          <w:p>
            <w:pPr>
              <w:spacing w:line="360" w:lineRule="exact"/>
              <w:jc w:val="center"/>
              <w:rPr>
                <w:lang w:val="en-US"/>
              </w:rPr>
            </w:pPr>
            <w:r>
              <w:rPr>
                <w:lang w:val="en-US"/>
              </w:rPr>
              <w:t>1839.43</w:t>
            </w:r>
          </w:p>
        </w:tc>
        <w:tc>
          <w:tcPr>
            <w:tcW w:w="2552" w:type="dxa"/>
            <w:vAlign w:val="center"/>
          </w:tcPr>
          <w:p>
            <w:pPr>
              <w:spacing w:line="360" w:lineRule="exact"/>
              <w:jc w:val="center"/>
              <w:rPr>
                <w:lang w:val="en-US"/>
              </w:rPr>
            </w:pPr>
            <w:r>
              <w:rPr>
                <w:lang w:val="en-US"/>
              </w:rPr>
              <w:t>1796.21</w:t>
            </w:r>
          </w:p>
        </w:tc>
        <w:tc>
          <w:tcPr>
            <w:tcW w:w="1134" w:type="dxa"/>
            <w:vAlign w:val="center"/>
          </w:tcPr>
          <w:p>
            <w:pPr>
              <w:spacing w:line="360" w:lineRule="exact"/>
              <w:jc w:val="center"/>
              <w:rPr>
                <w:lang w:val="en-US"/>
              </w:rPr>
            </w:pPr>
            <w:r>
              <w:rPr>
                <w:lang w:val="en-US"/>
              </w:rPr>
              <w:t>97.65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未命名(3A8E)</w:t>
            </w:r>
          </w:p>
        </w:tc>
        <w:tc>
          <w:tcPr>
            <w:tcW w:w="1417" w:type="dxa"/>
            <w:vAlign w:val="center"/>
          </w:tcPr>
          <w:p>
            <w:pPr>
              <w:spacing w:line="360" w:lineRule="exact"/>
              <w:jc w:val="center"/>
              <w:rPr>
                <w:lang w:val="en-US"/>
              </w:rPr>
            </w:pPr>
            <w:r>
              <w:rPr>
                <w:lang w:val="en-US"/>
              </w:rPr>
              <w:t>659.47</w:t>
            </w:r>
          </w:p>
        </w:tc>
        <w:tc>
          <w:tcPr>
            <w:tcW w:w="2552" w:type="dxa"/>
            <w:vAlign w:val="center"/>
          </w:tcPr>
          <w:p>
            <w:pPr>
              <w:spacing w:line="360" w:lineRule="exact"/>
              <w:jc w:val="center"/>
              <w:rPr>
                <w:lang w:val="en-US"/>
              </w:rPr>
            </w:pPr>
            <w:r>
              <w:rPr>
                <w:lang w:val="en-US"/>
              </w:rPr>
              <w:t>597.15</w:t>
            </w:r>
          </w:p>
        </w:tc>
        <w:tc>
          <w:tcPr>
            <w:tcW w:w="1134" w:type="dxa"/>
            <w:vAlign w:val="center"/>
          </w:tcPr>
          <w:p>
            <w:pPr>
              <w:spacing w:line="360" w:lineRule="exact"/>
              <w:jc w:val="center"/>
              <w:rPr>
                <w:lang w:val="en-US"/>
              </w:rPr>
            </w:pPr>
            <w:r>
              <w:rPr>
                <w:lang w:val="en-US"/>
              </w:rPr>
              <w:t>90.55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未命名(3B02)</w:t>
            </w:r>
          </w:p>
        </w:tc>
        <w:tc>
          <w:tcPr>
            <w:tcW w:w="1417" w:type="dxa"/>
            <w:vAlign w:val="center"/>
          </w:tcPr>
          <w:p>
            <w:pPr>
              <w:spacing w:line="360" w:lineRule="exact"/>
              <w:jc w:val="center"/>
              <w:rPr>
                <w:lang w:val="en-US"/>
              </w:rPr>
            </w:pPr>
            <w:r>
              <w:rPr>
                <w:lang w:val="en-US"/>
              </w:rPr>
              <w:t>594.04</w:t>
            </w:r>
          </w:p>
        </w:tc>
        <w:tc>
          <w:tcPr>
            <w:tcW w:w="2552" w:type="dxa"/>
            <w:vAlign w:val="center"/>
          </w:tcPr>
          <w:p>
            <w:pPr>
              <w:spacing w:line="360" w:lineRule="exact"/>
              <w:jc w:val="center"/>
              <w:rPr>
                <w:lang w:val="en-US"/>
              </w:rPr>
            </w:pPr>
            <w:r>
              <w:rPr>
                <w:lang w:val="en-US"/>
              </w:rPr>
              <w:t>380.25</w:t>
            </w:r>
          </w:p>
        </w:tc>
        <w:tc>
          <w:tcPr>
            <w:tcW w:w="1134" w:type="dxa"/>
            <w:vAlign w:val="center"/>
          </w:tcPr>
          <w:p>
            <w:pPr>
              <w:spacing w:line="360" w:lineRule="exact"/>
              <w:jc w:val="center"/>
              <w:rPr>
                <w:lang w:val="en-US"/>
              </w:rPr>
            </w:pPr>
            <w:r>
              <w:rPr>
                <w:lang w:val="en-US"/>
              </w:rPr>
              <w:t>64.01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未命名(4B6D)</w:t>
            </w:r>
          </w:p>
        </w:tc>
        <w:tc>
          <w:tcPr>
            <w:tcW w:w="1417" w:type="dxa"/>
            <w:vAlign w:val="center"/>
          </w:tcPr>
          <w:p>
            <w:pPr>
              <w:spacing w:line="360" w:lineRule="exact"/>
              <w:jc w:val="center"/>
              <w:rPr>
                <w:lang w:val="en-US"/>
              </w:rPr>
            </w:pPr>
            <w:r>
              <w:rPr>
                <w:lang w:val="en-US"/>
              </w:rPr>
              <w:t>1018.31</w:t>
            </w:r>
          </w:p>
        </w:tc>
        <w:tc>
          <w:tcPr>
            <w:tcW w:w="2552" w:type="dxa"/>
            <w:vAlign w:val="center"/>
          </w:tcPr>
          <w:p>
            <w:pPr>
              <w:spacing w:line="360" w:lineRule="exact"/>
              <w:jc w:val="center"/>
              <w:rPr>
                <w:lang w:val="en-US"/>
              </w:rPr>
            </w:pPr>
            <w:r>
              <w:rPr>
                <w:lang w:val="en-US"/>
              </w:rPr>
              <w:t>972.08</w:t>
            </w:r>
          </w:p>
        </w:tc>
        <w:tc>
          <w:tcPr>
            <w:tcW w:w="1134" w:type="dxa"/>
            <w:vAlign w:val="center"/>
          </w:tcPr>
          <w:p>
            <w:pPr>
              <w:spacing w:line="360" w:lineRule="exact"/>
              <w:jc w:val="center"/>
              <w:rPr>
                <w:lang w:val="en-US"/>
              </w:rPr>
            </w:pPr>
            <w:r>
              <w:rPr>
                <w:lang w:val="en-US"/>
              </w:rPr>
              <w:t>95.46</w:t>
            </w:r>
          </w:p>
        </w:tc>
        <w:tc>
          <w:tcPr>
            <w:tcW w:w="835" w:type="dxa"/>
            <w:vAlign w:val="center"/>
          </w:tcPr>
          <w:p>
            <w:pPr>
              <w:spacing w:line="360" w:lineRule="exact"/>
              <w:jc w:val="center"/>
              <w:rPr>
                <w:lang w:val="en-US"/>
              </w:rPr>
            </w:pPr>
            <w:r>
              <w:rPr>
                <w:lang w:val="en-US"/>
              </w:rPr>
              <w:t>是</w:t>
            </w:r>
          </w:p>
        </w:tc>
      </w:tr>
      <w:bookmarkEnd w:id="156"/>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31"/>
    </w:p>
    <w:p>
      <w:pPr>
        <w:rPr>
          <w:lang w:val="en-US"/>
        </w:rPr>
      </w:pPr>
      <w:bookmarkStart w:id="157" w:name="建筑室内外风压差达标判定结论"/>
      <w:r>
        <w:rPr>
          <w:rFonts w:hint="eastAsia"/>
          <w:lang w:val="en-US"/>
        </w:rPr>
        <w:t>结论：本项目中DT单体(景观最终)建筑未满足“50%以上可开启外窗室内外表面的风压差大于0.5Pa”的要求，该条不得分。</w:t>
      </w:r>
      <w:bookmarkEnd w:id="157"/>
      <w:r>
        <w:rPr>
          <w:rFonts w:hint="eastAsia"/>
          <w:lang w:val="en-US"/>
        </w:rPr>
        <w:t xml:space="preserve"> </w:t>
      </w:r>
    </w:p>
    <w:p>
      <w:pPr>
        <w:rPr>
          <w:lang w:val="en-US"/>
        </w:rPr>
      </w:pPr>
      <w:bookmarkStart w:id="158" w:name="其他工况"/>
      <w:bookmarkEnd w:id="158"/>
      <w:r>
        <w:rPr>
          <w:rFonts w:hint="eastAsia"/>
          <w:lang w:val="en-US"/>
        </w:rPr>
        <w:t xml:space="preserve"> </w:t>
      </w:r>
    </w:p>
    <w:p>
      <w:pPr>
        <w:pStyle w:val="4"/>
      </w:pPr>
      <w:bookmarkStart w:id="159" w:name="_Toc509844764"/>
      <w:bookmarkStart w:id="160" w:name="_Toc7256"/>
      <w:r>
        <w:rPr>
          <w:rFonts w:hint="eastAsia"/>
        </w:rPr>
        <w:t>结论</w:t>
      </w:r>
      <w:bookmarkEnd w:id="159"/>
      <w:bookmarkEnd w:id="160"/>
    </w:p>
    <w:p>
      <w:pPr>
        <w:pStyle w:val="5"/>
      </w:pPr>
      <w:bookmarkStart w:id="161" w:name="_Toc509844765"/>
      <w:bookmarkStart w:id="162" w:name="_Toc17953"/>
      <w:r>
        <w:rPr>
          <w:rFonts w:hint="eastAsia"/>
        </w:rPr>
        <w:t>冬季工况达标判断</w:t>
      </w:r>
      <w:bookmarkEnd w:id="161"/>
      <w:bookmarkEnd w:id="162"/>
      <w:bookmarkStart w:id="163" w:name="_Toc509844766"/>
      <w:bookmarkEnd w:id="16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4" w:name="标准要求冬季风速得分"/>
            <w:r>
              <w:rPr>
                <w:rFonts w:hint="eastAsia"/>
                <w:lang w:val="en-US"/>
              </w:rPr>
              <w:t>3</w:t>
            </w:r>
            <w:bookmarkEnd w:id="164"/>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5" w:name="冬季风速结果所有文字"/>
            <w:r>
              <w:rPr>
                <w:rFonts w:hint="eastAsia"/>
                <w:lang w:val="en-US"/>
              </w:rPr>
              <w:t>人行区</w:t>
            </w:r>
            <w:bookmarkStart w:id="166" w:name="冬季风速结果"/>
            <w:r>
              <w:t>没有出现</w:t>
            </w:r>
            <w:bookmarkEnd w:id="166"/>
            <w:r>
              <w:rPr>
                <w:rFonts w:hint="eastAsia"/>
                <w:lang w:val="en-US"/>
              </w:rPr>
              <w:t>风速大于</w:t>
            </w:r>
            <w:r>
              <w:rPr>
                <w:lang w:val="en-US"/>
              </w:rPr>
              <w:t>5m/s</w:t>
            </w:r>
            <w:r>
              <w:rPr>
                <w:rFonts w:hint="eastAsia"/>
                <w:lang w:val="en-US"/>
              </w:rPr>
              <w:t>的区域，户外休息区、儿童娱乐区</w:t>
            </w:r>
            <w:bookmarkStart w:id="167" w:name="冬季风速结果2"/>
            <w:r>
              <w:t>没有出现</w:t>
            </w:r>
            <w:bookmarkEnd w:id="167"/>
            <w:r>
              <w:rPr>
                <w:rFonts w:hint="eastAsia"/>
                <w:lang w:val="en-US"/>
              </w:rPr>
              <w:t>风速大于2m/s的区域</w:t>
            </w:r>
            <w:bookmarkEnd w:id="165"/>
          </w:p>
        </w:tc>
        <w:tc>
          <w:tcPr>
            <w:tcW w:w="1985" w:type="dxa"/>
            <w:vMerge w:val="restart"/>
            <w:tcBorders>
              <w:top w:val="single" w:color="auto" w:sz="4" w:space="0"/>
            </w:tcBorders>
            <w:shd w:val="clear" w:color="auto" w:fill="auto"/>
            <w:vAlign w:val="center"/>
          </w:tcPr>
          <w:p>
            <w:pPr>
              <w:jc w:val="center"/>
              <w:rPr>
                <w:b/>
                <w:lang w:val="en-US"/>
              </w:rPr>
            </w:pPr>
            <w:bookmarkStart w:id="168" w:name="冬季风速达标判定"/>
            <w:r>
              <w:rPr>
                <w:rFonts w:hint="eastAsia"/>
                <w:b/>
                <w:lang w:val="en-US"/>
              </w:rPr>
              <w:t>达标</w:t>
            </w:r>
            <w:bookmarkEnd w:id="168"/>
          </w:p>
        </w:tc>
        <w:tc>
          <w:tcPr>
            <w:tcW w:w="1416" w:type="dxa"/>
            <w:vMerge w:val="restart"/>
            <w:tcBorders>
              <w:top w:val="single" w:color="auto" w:sz="4" w:space="0"/>
            </w:tcBorders>
            <w:shd w:val="clear" w:color="auto" w:fill="auto"/>
            <w:vAlign w:val="center"/>
          </w:tcPr>
          <w:p>
            <w:pPr>
              <w:jc w:val="center"/>
              <w:rPr>
                <w:lang w:val="en-US"/>
              </w:rPr>
            </w:pPr>
            <w:bookmarkStart w:id="169" w:name="冬季风速得分"/>
            <w:r>
              <w:rPr>
                <w:rFonts w:hint="eastAsia"/>
                <w:lang w:val="en-US"/>
              </w:rPr>
              <w:t>3</w:t>
            </w:r>
            <w:bookmarkEnd w:id="169"/>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70" w:name="冬季风速放大系数结果所有文字"/>
            <w:r>
              <w:rPr>
                <w:rFonts w:hint="eastAsia"/>
                <w:lang w:val="en-US"/>
              </w:rPr>
              <w:t>人行区</w:t>
            </w:r>
            <w:bookmarkStart w:id="171" w:name="冬季风速放大系数结果人行区"/>
            <w:bookmarkEnd w:id="171"/>
            <w:r>
              <w:rPr>
                <w:rFonts w:hint="eastAsia"/>
                <w:lang w:val="en-US"/>
              </w:rPr>
              <w:t>、户外休息区</w:t>
            </w:r>
            <w:r>
              <w:rPr>
                <w:lang w:val="en-US"/>
              </w:rPr>
              <w:t>、</w:t>
            </w:r>
            <w:r>
              <w:rPr>
                <w:rFonts w:hint="eastAsia"/>
                <w:lang w:val="en-US"/>
              </w:rPr>
              <w:t>儿童娱乐区</w:t>
            </w:r>
            <w:bookmarkStart w:id="172" w:name="冬季风速放大系数结果休息区"/>
            <w:r>
              <w:t>没有出现</w:t>
            </w:r>
            <w:bookmarkEnd w:id="172"/>
            <w:r>
              <w:rPr>
                <w:rFonts w:hint="eastAsia"/>
                <w:lang w:val="en-US"/>
              </w:rPr>
              <w:t>风速放大系数大于等于2的区域</w:t>
            </w:r>
            <w:bookmarkEnd w:id="170"/>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73" w:name="标准要求冬季风压得分"/>
            <w:r>
              <w:rPr>
                <w:rFonts w:hint="eastAsia"/>
                <w:lang w:val="en-US"/>
              </w:rPr>
              <w:t>2</w:t>
            </w:r>
            <w:bookmarkEnd w:id="173"/>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74" w:name="冬季迎背风面结果"/>
            <w:r>
              <w:t>没有出现</w:t>
            </w:r>
            <w:bookmarkEnd w:id="174"/>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5" w:name="冬季迎背风面达标判定"/>
            <w:r>
              <w:rPr>
                <w:rFonts w:hint="eastAsia"/>
                <w:b/>
                <w:lang w:val="en-US"/>
              </w:rPr>
              <w:t>达标</w:t>
            </w:r>
            <w:bookmarkEnd w:id="175"/>
          </w:p>
        </w:tc>
        <w:tc>
          <w:tcPr>
            <w:tcW w:w="1416" w:type="dxa"/>
            <w:shd w:val="clear" w:color="auto" w:fill="auto"/>
            <w:vAlign w:val="center"/>
          </w:tcPr>
          <w:p>
            <w:pPr>
              <w:jc w:val="center"/>
              <w:rPr>
                <w:lang w:val="en-US"/>
              </w:rPr>
            </w:pPr>
            <w:bookmarkStart w:id="176" w:name="冬季迎背风面得分"/>
            <w:r>
              <w:rPr>
                <w:rFonts w:hint="eastAsia"/>
                <w:lang w:val="en-US"/>
              </w:rPr>
              <w:t>2</w:t>
            </w:r>
            <w:bookmarkEnd w:id="176"/>
            <w:r>
              <w:rPr>
                <w:rFonts w:hint="eastAsia"/>
                <w:lang w:val="en-US"/>
              </w:rPr>
              <w:t>分</w:t>
            </w:r>
          </w:p>
        </w:tc>
      </w:tr>
    </w:tbl>
    <w:p>
      <w:pPr>
        <w:rPr>
          <w:szCs w:val="21"/>
          <w:lang w:val="en-US"/>
        </w:rPr>
      </w:pPr>
      <w:bookmarkStart w:id="177" w:name="_Toc509844768"/>
      <w:bookmarkEnd w:id="177"/>
      <w:bookmarkStart w:id="178" w:name="_Toc509844767"/>
      <w:bookmarkEnd w:id="178"/>
    </w:p>
    <w:bookmarkEnd w:id="0"/>
    <w:bookmarkEnd w:id="1"/>
    <w:p>
      <w:pPr>
        <w:pStyle w:val="5"/>
      </w:pPr>
      <w:bookmarkStart w:id="179" w:name="_Toc509844769"/>
      <w:bookmarkStart w:id="180" w:name="_Toc4175"/>
      <w:r>
        <w:rPr>
          <w:rFonts w:hint="eastAsia"/>
        </w:rPr>
        <w:t>过渡季、夏季工况达标判断</w:t>
      </w:r>
      <w:bookmarkEnd w:id="179"/>
      <w:bookmarkEnd w:id="180"/>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1" w:name="标准要求夏季风速得分"/>
            <w:r>
              <w:rPr>
                <w:rFonts w:hint="eastAsia"/>
                <w:lang w:val="en-US"/>
              </w:rPr>
              <w:t>3</w:t>
            </w:r>
            <w:bookmarkEnd w:id="181"/>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82" w:name="夏季无风区结果人活动区文字"/>
            <w:r>
              <w:rPr>
                <w:rFonts w:hint="eastAsia"/>
                <w:lang w:val="en-US"/>
              </w:rPr>
              <w:t>人活动区</w:t>
            </w:r>
            <w:bookmarkStart w:id="183" w:name="夏季无风区结果"/>
            <w:r>
              <w:rPr>
                <w:color w:val="FF0000"/>
              </w:rPr>
              <w:t>有</w:t>
            </w:r>
            <w:bookmarkEnd w:id="182"/>
            <w:bookmarkEnd w:id="183"/>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84" w:name="夏季无风区达标判定"/>
            <w:r>
              <w:rPr>
                <w:rFonts w:hint="eastAsia"/>
                <w:b/>
                <w:color w:val="FF0000"/>
                <w:lang w:val="en-US"/>
              </w:rPr>
              <w:t>不达标</w:t>
            </w:r>
            <w:bookmarkEnd w:id="184"/>
          </w:p>
        </w:tc>
        <w:tc>
          <w:tcPr>
            <w:tcW w:w="1416" w:type="dxa"/>
            <w:vMerge w:val="restart"/>
            <w:tcBorders>
              <w:top w:val="single" w:color="auto" w:sz="4" w:space="0"/>
            </w:tcBorders>
            <w:shd w:val="clear" w:color="auto" w:fill="auto"/>
            <w:vAlign w:val="center"/>
          </w:tcPr>
          <w:p>
            <w:pPr>
              <w:jc w:val="center"/>
              <w:rPr>
                <w:lang w:val="en-US"/>
              </w:rPr>
            </w:pPr>
            <w:bookmarkStart w:id="185" w:name="夏季无风区得分"/>
            <w:r>
              <w:rPr>
                <w:rFonts w:hint="eastAsia"/>
                <w:lang w:val="en-US"/>
              </w:rPr>
              <w:t>0</w:t>
            </w:r>
            <w:bookmarkEnd w:id="18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bookmarkStart w:id="186" w:name="夏季旋涡区结果人活动区文字"/>
            <w:r>
              <w:rPr>
                <w:rFonts w:hint="eastAsia"/>
                <w:lang w:val="en-US"/>
              </w:rPr>
              <w:t>人活动区</w:t>
            </w:r>
            <w:bookmarkEnd w:id="186"/>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7" w:name="标准要求夏季风压得分"/>
            <w:r>
              <w:rPr>
                <w:rFonts w:hint="eastAsia"/>
                <w:lang w:val="en-US"/>
              </w:rPr>
              <w:t>2</w:t>
            </w:r>
            <w:bookmarkEnd w:id="187"/>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88" w:name="夏季窗内外风压差结果"/>
            <w:r>
              <w:rPr>
                <w:rFonts w:hint="eastAsia"/>
                <w:color w:val="FF0000"/>
                <w:lang w:val="en-US"/>
              </w:rPr>
              <w:t>不满足</w:t>
            </w:r>
            <w:bookmarkEnd w:id="188"/>
            <w:r>
              <w:rPr>
                <w:rFonts w:hint="eastAsia"/>
                <w:lang w:val="en-US"/>
              </w:rPr>
              <w:t>标准要求</w:t>
            </w:r>
          </w:p>
        </w:tc>
        <w:tc>
          <w:tcPr>
            <w:tcW w:w="1844" w:type="dxa"/>
            <w:shd w:val="clear" w:color="auto" w:fill="auto"/>
            <w:vAlign w:val="center"/>
          </w:tcPr>
          <w:p>
            <w:pPr>
              <w:jc w:val="center"/>
              <w:rPr>
                <w:b/>
                <w:lang w:val="en-US"/>
              </w:rPr>
            </w:pPr>
            <w:bookmarkStart w:id="189" w:name="夏季窗内外风压差达标判定"/>
            <w:r>
              <w:rPr>
                <w:rFonts w:hint="eastAsia"/>
                <w:b/>
                <w:color w:val="FF0000"/>
                <w:lang w:val="en-US"/>
              </w:rPr>
              <w:t>不达标</w:t>
            </w:r>
            <w:bookmarkEnd w:id="189"/>
          </w:p>
        </w:tc>
        <w:tc>
          <w:tcPr>
            <w:tcW w:w="1416" w:type="dxa"/>
            <w:shd w:val="clear" w:color="auto" w:fill="auto"/>
            <w:vAlign w:val="center"/>
          </w:tcPr>
          <w:p>
            <w:pPr>
              <w:jc w:val="center"/>
              <w:rPr>
                <w:lang w:val="en-US"/>
              </w:rPr>
            </w:pPr>
            <w:bookmarkStart w:id="190" w:name="夏季窗内外风压差得分"/>
            <w:r>
              <w:rPr>
                <w:rFonts w:hint="eastAsia"/>
                <w:lang w:val="en-US"/>
              </w:rPr>
              <w:t>0</w:t>
            </w:r>
            <w:bookmarkEnd w:id="190"/>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91" w:name="总得分"/>
      <w:r>
        <w:rPr>
          <w:rFonts w:hint="eastAsia"/>
          <w:lang w:val="en-US"/>
        </w:rPr>
        <w:t>5</w:t>
      </w:r>
      <w:bookmarkEnd w:id="191"/>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66485829"/>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datastoreItem>
</file>

<file path=docProps/app.xml><?xml version="1.0" encoding="utf-8"?>
<Properties xmlns="http://schemas.openxmlformats.org/officeDocument/2006/extended-properties" xmlns:vt="http://schemas.openxmlformats.org/officeDocument/2006/docPropsVTypes">
  <Template>国标2019室外风环境模拟分析报告.dotx</Template>
  <Company>ths</Company>
  <Pages>12</Pages>
  <Words>855</Words>
  <Characters>4878</Characters>
  <Lines>40</Lines>
  <Paragraphs>11</Paragraphs>
  <TotalTime>0</TotalTime>
  <ScaleCrop>false</ScaleCrop>
  <LinksUpToDate>false</LinksUpToDate>
  <CharactersWithSpaces>5722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2021-01-26T08:44:00Z</dcterms:created>
  <dc:creator>sware</dc:creator>
  <cp:lastModifiedBy>财务部玲姐</cp:lastModifiedBy>
  <cp:lastPrinted>1900-12-31T16:00:00Z</cp:lastPrinted>
  <dcterms:modified xsi:type="dcterms:W3CDTF">2022-05-22T16:25:24Z</dcterms:modified>
  <dc:title>室外风环境模拟分析报告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240E96EF0E5C417F92401A4ACD7D52E5</vt:lpwstr>
  </property>
</Properties>
</file>