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广西-南宁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2023年3月3日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T17708473286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_Toc13510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_Toc31623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_Toc31623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_Toc12679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_Toc12679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_Toc4204 </w:instrText>
      </w:r>
      <w:r>
        <w:fldChar w:fldCharType="separate"/>
      </w:r>
      <w:r>
        <w:rPr>
          <w:rFonts w:hint="eastAsia"/>
        </w:rPr>
        <w:t xml:space="preserve">4 </w:t>
      </w:r>
      <w:r>
        <w:t>建筑大样</w:t>
      </w:r>
      <w:r>
        <w:tab/>
      </w:r>
      <w:r>
        <w:fldChar w:fldCharType="begin"/>
      </w:r>
      <w:r>
        <w:instrText xml:space="preserve"> PAGEREF _Toc4204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_Toc20995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_Toc20995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_Toc3997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_Toc14368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_Toc8530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_Toc8530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_Toc27004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_Toc16875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_Toc12618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采暖空调</w:t>
      </w:r>
      <w:r>
        <w:tab/>
      </w:r>
      <w:r>
        <w:fldChar w:fldCharType="begin"/>
      </w:r>
      <w:r>
        <w:instrText xml:space="preserve"> PAGEREF _Toc5851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_Toc2019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_Toc11902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_Toc10025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_Toc2470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_Toc1768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_Toc16998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_Toc16998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风力发电</w:t>
      </w:r>
      <w:r>
        <w:tab/>
      </w:r>
      <w:r>
        <w:fldChar w:fldCharType="begin"/>
      </w:r>
      <w:r>
        <w:instrText xml:space="preserve"> PAGEREF _Toc20946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_Toc2761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_Toc2761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_Toc25440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_Toc25440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_Toc25500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_Toc18324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采暖空调</w:t>
      </w:r>
      <w:r>
        <w:tab/>
      </w:r>
      <w:r>
        <w:fldChar w:fldCharType="begin"/>
      </w:r>
      <w:r>
        <w:instrText xml:space="preserve"> PAGEREF _Toc9620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_Toc1546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_Toc27829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_Toc27829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_Toc31300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_Toc16341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_Toc19345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_Toc23934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_Toc23934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_Toc26888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_Toc8301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_Toc8301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_Toc21090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_Toc21090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_Toc31942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_Toc10742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35"/>
    </w:p>
    <w:p>
      <w:pPr>
        <w:pStyle w:val="16"/>
      </w:pPr>
    </w:p>
    <w:p>
      <w:pPr>
        <w:pStyle w:val="2"/>
      </w:pPr>
      <w:bookmarkStart w:id="11" w:name="_Toc1351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广西-南宁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1210.02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129.57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31623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夏热冬暖地区居住建筑节能设计标准JGJ 75-2012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2421"/>
      <w:bookmarkStart w:id="34" w:name="_Toc59787735"/>
      <w:bookmarkStart w:id="35" w:name="_Toc58336110"/>
      <w:bookmarkStart w:id="36" w:name="_Toc59800596"/>
      <w:bookmarkStart w:id="37" w:name="_Toc1267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  <w:widowControl w:val="0"/>
        <w:jc w:val="both"/>
      </w:pPr>
      <w:bookmarkStart w:id="39" w:name="_Toc4204"/>
      <w:r>
        <w:t>建筑大样</w:t>
      </w:r>
      <w:bookmarkEnd w:id="39"/>
    </w:p>
    <w:p>
      <w:pPr>
        <w:widowControl w:val="0"/>
        <w:jc w:val="center"/>
      </w:pPr>
      <w:r>
        <w:drawing>
          <wp:inline distT="0" distB="0" distL="0" distR="0">
            <wp:extent cx="5667375" cy="79438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19750" cy="8010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514975" cy="80105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3419475" cy="80105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pStyle w:val="2"/>
        <w:widowControl w:val="0"/>
        <w:jc w:val="both"/>
      </w:pPr>
      <w:bookmarkStart w:id="40" w:name="_Toc20995"/>
      <w:r>
        <w:t>围护结构</w:t>
      </w:r>
      <w:bookmarkEnd w:id="40"/>
    </w:p>
    <w:p>
      <w:pPr>
        <w:pStyle w:val="4"/>
        <w:widowControl w:val="0"/>
        <w:jc w:val="both"/>
      </w:pPr>
      <w:bookmarkStart w:id="41" w:name="_Toc3997"/>
      <w:r>
        <w:t>工程材料</w:t>
      </w:r>
      <w:bookmarkEnd w:id="4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2" w:name="_Toc14368"/>
      <w:r>
        <w:t>围护结构概况</w:t>
      </w:r>
      <w:bookmarkEnd w:id="42"/>
    </w:p>
    <w:p/>
    <w:tbl>
      <w:tblPr>
        <w:tblStyle w:val="18"/>
        <w:tblW w:w="48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85"/>
        <w:gridCol w:w="1098"/>
        <w:gridCol w:w="1932"/>
        <w:gridCol w:w="1031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1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3"/>
          </w:p>
        </w:tc>
        <w:tc>
          <w:tcPr>
            <w:tcW w:w="1610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5" w:name="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0.77</w:t>
            </w:r>
            <w:bookmarkEnd w:id="45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0.90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7" w:name="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1.11</w:t>
            </w:r>
            <w:bookmarkEnd w:id="47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9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09" w:type="pct"/>
            <w:gridSpan w:val="2"/>
            <w:tcBorders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10"/>
          </w:p>
        </w:tc>
        <w:tc>
          <w:tcPr>
            <w:tcW w:w="1610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外墙ρ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屋顶ρ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窗墙比－南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窗墙比－南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窗墙比－北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窗墙比－北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窗墙比－东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窗墙比－东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窗墙比－西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61"/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窗墙比－西向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74" w:type="pct"/>
            <w:vMerge w:val="continue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窗墙比－平均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63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窗墙比－平均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09" w:type="pct"/>
            <w:gridSpan w:val="2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建筑窗地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5"/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</w:t>
            </w:r>
            <w:bookmarkStart w:id="66" w:name="建筑窗地比窗S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96.91</w:t>
            </w:r>
            <w:bookmarkEnd w:id="66"/>
          </w:p>
        </w:tc>
        <w:tc>
          <w:tcPr>
            <w:tcW w:w="57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建筑窗地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7"/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</w:t>
            </w:r>
            <w:bookmarkStart w:id="68" w:name="参照建筑建筑窗地比窗S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96.91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709" w:type="pct"/>
            <w:gridSpan w:val="2"/>
            <w:vMerge w:val="continue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9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</w:t>
            </w:r>
            <w:bookmarkStart w:id="69" w:name="建筑窗地比地S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322.62</w:t>
            </w:r>
            <w:bookmarkEnd w:id="69"/>
          </w:p>
        </w:tc>
        <w:tc>
          <w:tcPr>
            <w:tcW w:w="57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</w:t>
            </w:r>
            <w:bookmarkStart w:id="70" w:name="参照建筑建筑窗地比地S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322.62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9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外窗传热系数K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外窗K－平均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窗K－平均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709" w:type="pct"/>
            <w:gridSpan w:val="2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外窗综合遮阳系数Sw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外窗SC－平均"/>
            <w:bookmarkStart w:id="74" w:name="外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3"/>
            <w:bookmarkEnd w:id="74"/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bookmarkStart w:id="75" w:name="参照建筑外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76" w:name="_Toc8530"/>
      <w:r>
        <w:t>设计建筑</w:t>
      </w:r>
      <w:bookmarkEnd w:id="76"/>
    </w:p>
    <w:p>
      <w:pPr>
        <w:pStyle w:val="4"/>
        <w:widowControl w:val="0"/>
        <w:jc w:val="both"/>
      </w:pPr>
      <w:bookmarkStart w:id="77" w:name="_Toc27004"/>
      <w:r>
        <w:t>房间类型</w:t>
      </w:r>
      <w:bookmarkEnd w:id="77"/>
    </w:p>
    <w:p>
      <w:pPr>
        <w:pStyle w:val="5"/>
        <w:widowControl w:val="0"/>
        <w:jc w:val="both"/>
      </w:pPr>
      <w:bookmarkStart w:id="78" w:name="_Toc16875"/>
      <w: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79" w:name="_Toc12618"/>
      <w:r>
        <w:t>作息时间表</w:t>
      </w:r>
      <w:bookmarkEnd w:id="79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80" w:name="_Toc5851"/>
      <w:r>
        <w:t>采暖空调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vAlign w:val="center"/>
          </w:tcPr>
          <w:p>
            <w:r>
              <w:t>23131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6609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3.840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vAlign w:val="center"/>
          </w:tcPr>
          <w:p>
            <w:r>
              <w:t>740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0.165</w:t>
            </w:r>
          </w:p>
        </w:tc>
      </w:tr>
    </w:tbl>
    <w:p>
      <w:pPr>
        <w:pStyle w:val="4"/>
        <w:widowControl w:val="0"/>
        <w:jc w:val="both"/>
      </w:pPr>
      <w:bookmarkStart w:id="81" w:name="_Toc12817"/>
      <w:r>
        <w:t>照明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3674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2.135</w:t>
            </w:r>
          </w:p>
        </w:tc>
      </w:tr>
    </w:tbl>
    <w:p>
      <w:pPr>
        <w:pStyle w:val="4"/>
        <w:widowControl w:val="0"/>
        <w:jc w:val="both"/>
      </w:pPr>
      <w:bookmarkStart w:id="82" w:name="_Toc2019"/>
      <w:r>
        <w:t>生活热水</w:t>
      </w:r>
      <w:bookmarkEnd w:id="82"/>
    </w:p>
    <w:p>
      <w:pPr>
        <w:pStyle w:val="5"/>
        <w:widowControl w:val="0"/>
        <w:jc w:val="both"/>
      </w:pPr>
      <w:bookmarkStart w:id="83" w:name="_Toc11902"/>
      <w:r>
        <w:t>热水需求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5"/>
        <w:widowControl w:val="0"/>
        <w:jc w:val="both"/>
      </w:pPr>
      <w:bookmarkStart w:id="84" w:name="_Toc10025"/>
      <w:r>
        <w:t>太阳能集热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</w:tbl>
    <w:p>
      <w:pPr>
        <w:pStyle w:val="5"/>
        <w:widowControl w:val="0"/>
        <w:jc w:val="both"/>
      </w:pPr>
      <w:bookmarkStart w:id="85" w:name="_Toc2470"/>
      <w:r>
        <w:t>热水设备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86" w:name="_Toc1768"/>
      <w:r>
        <w:t>电梯</w:t>
      </w:r>
      <w:bookmarkEnd w:id="86"/>
    </w:p>
    <w:p>
      <w:pPr>
        <w:widowControl w:val="0"/>
        <w:jc w:val="both"/>
      </w:pPr>
      <w:r>
        <w:t>无</w:t>
      </w:r>
    </w:p>
    <w:p>
      <w:pPr>
        <w:pStyle w:val="4"/>
        <w:widowControl w:val="0"/>
        <w:jc w:val="both"/>
      </w:pPr>
      <w:bookmarkStart w:id="87" w:name="_Toc16998"/>
      <w:r>
        <w:t>光伏发电</w:t>
      </w:r>
      <w:bookmarkEnd w:id="87"/>
    </w:p>
    <w:p>
      <w:pPr>
        <w:widowControl w:val="0"/>
        <w:jc w:val="both"/>
      </w:pPr>
      <w:r>
        <w:t>日照辐照量(kJ/㎡.天)：12515，年运行天数：365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2427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1.410</w:t>
            </w:r>
          </w:p>
        </w:tc>
      </w:tr>
    </w:tbl>
    <w:p>
      <w:pPr>
        <w:pStyle w:val="4"/>
        <w:widowControl w:val="0"/>
        <w:jc w:val="both"/>
      </w:pPr>
      <w:bookmarkStart w:id="88" w:name="_Toc20946"/>
      <w:r>
        <w:t>风力发电</w:t>
      </w:r>
      <w:bookmarkEnd w:id="88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89" w:name="_Toc2761"/>
      <w:r>
        <w:t>参照建筑</w:t>
      </w:r>
      <w:bookmarkEnd w:id="89"/>
    </w:p>
    <w:p>
      <w:pPr>
        <w:pStyle w:val="4"/>
        <w:widowControl w:val="0"/>
        <w:jc w:val="both"/>
      </w:pPr>
      <w:bookmarkStart w:id="90" w:name="_Toc25440"/>
      <w:r>
        <w:t>房间类型</w:t>
      </w:r>
      <w:bookmarkEnd w:id="90"/>
    </w:p>
    <w:p>
      <w:pPr>
        <w:pStyle w:val="5"/>
        <w:widowControl w:val="0"/>
        <w:jc w:val="both"/>
      </w:pPr>
      <w:bookmarkStart w:id="91" w:name="_Toc25500"/>
      <w:r>
        <w:t>房间参数表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92" w:name="_Toc18324"/>
      <w:r>
        <w:t>作息时间表</w:t>
      </w:r>
      <w:bookmarkEnd w:id="92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93" w:name="_Toc9620"/>
      <w:r>
        <w:t>采暖空调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vAlign w:val="center"/>
          </w:tcPr>
          <w:p>
            <w:r>
              <w:t>23240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7747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4.501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vAlign w:val="center"/>
          </w:tcPr>
          <w:p>
            <w:r>
              <w:t>763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pStyle w:val="4"/>
        <w:widowControl w:val="0"/>
        <w:jc w:val="both"/>
      </w:pPr>
      <w:bookmarkStart w:id="94" w:name="_Toc1546"/>
      <w: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3674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2.135</w:t>
            </w:r>
          </w:p>
        </w:tc>
      </w:tr>
    </w:tbl>
    <w:p>
      <w:pPr>
        <w:pStyle w:val="4"/>
        <w:widowControl w:val="0"/>
        <w:jc w:val="both"/>
      </w:pPr>
      <w:bookmarkStart w:id="95" w:name="_Toc27829"/>
      <w:r>
        <w:t>生活热水</w:t>
      </w:r>
      <w:bookmarkEnd w:id="95"/>
    </w:p>
    <w:p>
      <w:pPr>
        <w:pStyle w:val="5"/>
        <w:widowControl w:val="0"/>
        <w:jc w:val="both"/>
      </w:pPr>
      <w:bookmarkStart w:id="96" w:name="_Toc31300"/>
      <w:r>
        <w:t>热水需求</w:t>
      </w:r>
      <w:bookmarkEnd w:id="9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5"/>
        <w:widowControl w:val="0"/>
        <w:jc w:val="both"/>
      </w:pPr>
      <w:bookmarkStart w:id="97" w:name="_Toc16341"/>
      <w:r>
        <w:t>热水设备</w:t>
      </w:r>
      <w:bookmarkEnd w:id="9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18778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2113.97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20865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4.172</w:t>
            </w:r>
          </w:p>
        </w:tc>
      </w:tr>
    </w:tbl>
    <w:p>
      <w:pPr>
        <w:pStyle w:val="4"/>
        <w:widowControl w:val="0"/>
        <w:jc w:val="both"/>
      </w:pPr>
      <w:bookmarkStart w:id="98" w:name="_Toc19345"/>
      <w:r>
        <w:t>电梯</w:t>
      </w:r>
      <w:bookmarkEnd w:id="98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99" w:name="_Toc23934"/>
      <w:r>
        <w:t>计算结果</w:t>
      </w:r>
      <w:bookmarkEnd w:id="99"/>
    </w:p>
    <w:p>
      <w:pPr>
        <w:pStyle w:val="4"/>
        <w:widowControl w:val="0"/>
        <w:jc w:val="both"/>
      </w:pPr>
      <w:bookmarkStart w:id="100" w:name="_Toc26888"/>
      <w:r>
        <w:t>建筑运行碳排放</w:t>
      </w:r>
      <w:bookmarkEnd w:id="10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_电耗CO2排放kgCO2_m2_a"/>
            <w:r>
              <w:t>11.90</w:t>
            </w:r>
            <w:bookmarkEnd w:id="10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空调能耗_电耗CO2排放kgCO2_m2_a"/>
            <w:r>
              <w:t>13.95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kgCO2_m2_a"/>
            <w:r>
              <w:t>0.51</w:t>
            </w:r>
            <w:bookmarkEnd w:id="10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供暖能耗_电耗CO2排放kgCO2_m2_a"/>
            <w:r>
              <w:t>0.81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_电耗CO2排放kgCO2_m2_a"/>
            <w:r>
              <w:t>6.62</w:t>
            </w:r>
            <w:bookmarkEnd w:id="10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照明能耗_电耗CO2排放kgCO2_m2_a"/>
            <w:r>
              <w:t>6.62</w:t>
            </w:r>
            <w:bookmarkEnd w:id="1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_电耗CO2排放kgCO2_m2_a"/>
            <w:r>
              <w:t>0.00</w:t>
            </w:r>
            <w:bookmarkEnd w:id="10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动力系统能耗_电耗CO2排放kgCO2_m2_a"/>
            <w:r>
              <w:t>0.00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_电耗CO2排放kgCO2_m2_a"/>
            <w:r>
              <w:t>0.00</w:t>
            </w:r>
            <w:bookmarkEnd w:id="109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热水系统能耗_电耗CO2排放kgCO2_m2_a"/>
            <w:r>
              <w:t>0.00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kgCO2_m2_a"/>
            <w:r>
              <w:t>0.00</w:t>
            </w:r>
            <w:bookmarkEnd w:id="11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其他能耗_电耗CO2排放kgCO2_m2_a"/>
            <w:r>
              <w:t>0.00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快速模式供暖能耗_燃料类型"/>
            <w:bookmarkEnd w:id="113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快速模式供暖碳排放kgCO2_m2_a"/>
            <w:r>
              <w:t>0.00</w:t>
            </w:r>
            <w:bookmarkEnd w:id="114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快速模式供暖碳排放kgCO2_m2_a"/>
            <w:r>
              <w:t>0.00</w:t>
            </w:r>
            <w:bookmarkEnd w:id="115"/>
            <w:r>
              <w:rPr>
                <w:rFonts w:hint="eastAsia"/>
                <w:lang w:val="en-US"/>
              </w:rPr>
              <w:t xml:space="preserve"> </w:t>
            </w:r>
            <w:bookmarkStart w:id="116" w:name="参照建筑快速模式供暖能耗_燃料类型"/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生活热水热源能耗_燃料类型"/>
            <w:r>
              <w:t>无</w:t>
            </w:r>
            <w:bookmarkEnd w:id="117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设计建筑生活热水锅炉碳排放kgCO2_m2_a"/>
            <w:r>
              <w:t>0.00</w:t>
            </w:r>
            <w:bookmarkEnd w:id="118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生活热水锅炉碳排放kgCO2_m2_a"/>
            <w:r>
              <w:t>12.93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炊事能耗_燃料类型"/>
            <w:r>
              <w:t>燃气</w:t>
            </w:r>
            <w:bookmarkEnd w:id="120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_电耗CO2排放kgCO2_m2_a"/>
            <w:r>
              <w:t>4.37</w:t>
            </w:r>
            <w:bookmarkEnd w:id="12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风力能耗_电耗CO2排放kgCO2_m2_a"/>
            <w:r>
              <w:t>0.00</w:t>
            </w:r>
            <w:bookmarkEnd w:id="12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建筑总碳排放kgCO2_m2_a"/>
            <w:r>
              <w:t>14.66</w:t>
            </w:r>
            <w:bookmarkEnd w:id="12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建筑总碳排放kgCO2_m2_a"/>
            <w:r>
              <w:t>34.31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节碳率"/>
            <w:r>
              <w:t>57.27</w:t>
            </w:r>
            <w:bookmarkEnd w:id="125"/>
            <w:r>
              <w:rPr>
                <w:lang w:val="en-US"/>
              </w:rPr>
              <w:t xml:space="preserve"> </w:t>
            </w:r>
            <w:bookmarkStart w:id="126" w:name="碳排放强度降低比例目标值描述"/>
            <w:r>
              <w:t>(目标值: 40)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(kgCO2/(m2·a)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碳排放降低强度"/>
            <w:r>
              <w:t>19.65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目标值描述"/>
            <w:r>
              <w:t>(目标值:7)</w:t>
            </w:r>
            <w:bookmarkEnd w:id="128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29" w:name="_Toc8301"/>
      <w:r>
        <w:t>结论</w:t>
      </w:r>
      <w:bookmarkEnd w:id="129"/>
    </w:p>
    <w:p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57.27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19.65</w:t>
      </w:r>
      <w:bookmarkEnd w:id="2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0" w:name="降碳结论"/>
      <w:r>
        <w:t>满足</w:t>
      </w:r>
      <w:bookmarkEnd w:id="13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widowControl w:val="0"/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131" w:name="_Toc21090"/>
      <w:r>
        <w:t>附录</w:t>
      </w:r>
      <w:bookmarkEnd w:id="131"/>
    </w:p>
    <w:p>
      <w:pPr>
        <w:pStyle w:val="4"/>
        <w:widowControl w:val="0"/>
        <w:jc w:val="both"/>
      </w:pPr>
      <w:bookmarkStart w:id="132" w:name="_Toc16773"/>
      <w:r>
        <w:t>工作日/节假日人员逐时在室率(%)</w:t>
      </w:r>
      <w:bookmarkEnd w:id="13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33" w:name="_Toc31942"/>
      <w:r>
        <w:t>工作日/节假日照明开关时间表(%)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10742"/>
      <w:r>
        <w:t>工作日/节假日设备逐时使用率(%)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392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建筑碳排放报告书(GB55015-2021-降碳).dotx</Template>
  <Company>ths</Company>
  <Pages>3</Pages>
  <Words>546</Words>
  <Characters>3115</Characters>
  <Lines>25</Lines>
  <Paragraphs>7</Paragraphs>
  <TotalTime>0</TotalTime>
  <ScaleCrop>false</ScaleCrop>
  <LinksUpToDate>false</LinksUpToDate>
  <CharactersWithSpaces>3654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达@716</cp:lastModifiedBy>
  <cp:lastPrinted>2411-12-31T16:00:00Z</cp:lastPrinted>
  <dcterms:modified xsi:type="dcterms:W3CDTF">2023-03-03T13:19:48Z</dcterms:modified>
  <dc:title>建筑节能运行降碳报告书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9ADD0DC6334A4DA1B70FDE16207A5D79</vt:lpwstr>
  </property>
</Properties>
</file>