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2022年12月30日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"_Toc123287700"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_Toc123287700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"_Toc123287701"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_Toc123287701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"_Toc123287702"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_Toc123287702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"_Toc123287703"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_Toc123287703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"_Toc123287704" </w:instrText>
          </w:r>
          <w:r>
            <w:fldChar w:fldCharType="separate"/>
          </w:r>
          <w:r>
            <w:rPr>
              <w:rStyle w:val="22"/>
              <w:lang w:val="en-GB"/>
            </w:rPr>
            <w:t>4.1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_Toc123287704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"_Toc123287705" </w:instrText>
          </w:r>
          <w:r>
            <w:fldChar w:fldCharType="separate"/>
          </w:r>
          <w:r>
            <w:rPr>
              <w:rStyle w:val="22"/>
              <w:lang w:val="en-GB"/>
            </w:rPr>
            <w:t>4.2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_Toc123287705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"_Toc123287706" </w:instrText>
          </w:r>
          <w:r>
            <w:fldChar w:fldCharType="separate"/>
          </w:r>
          <w:r>
            <w:rPr>
              <w:rStyle w:val="22"/>
              <w:lang w:val="en-GB"/>
            </w:rPr>
            <w:t>4.3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_Toc123287706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"_Toc123287707"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_Toc123287707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"_Toc123287708" </w:instrText>
          </w:r>
          <w:r>
            <w:fldChar w:fldCharType="separate"/>
          </w:r>
          <w:r>
            <w:rPr>
              <w:rStyle w:val="22"/>
              <w:lang w:val="en-GB"/>
            </w:rPr>
            <w:t>5.1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_Toc123287708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"_Toc123287709" </w:instrText>
          </w:r>
          <w:r>
            <w:fldChar w:fldCharType="separate"/>
          </w:r>
          <w:r>
            <w:rPr>
              <w:rStyle w:val="22"/>
              <w:lang w:val="en-GB"/>
            </w:rPr>
            <w:t>5.2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_Toc123287709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"_Toc123287710" </w:instrText>
          </w:r>
          <w:r>
            <w:fldChar w:fldCharType="separate"/>
          </w:r>
          <w:r>
            <w:rPr>
              <w:rStyle w:val="22"/>
              <w:lang w:val="en-GB"/>
            </w:rPr>
            <w:t>5.3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_Toc123287710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"_Toc123287711" </w:instrText>
          </w:r>
          <w:r>
            <w:fldChar w:fldCharType="separate"/>
          </w:r>
          <w:r>
            <w:rPr>
              <w:rStyle w:val="22"/>
              <w:rFonts w:eastAsia="宋体"/>
              <w:lang w:val="en-GB"/>
            </w:rPr>
            <w:t>5.3.1</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_Toc123287711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"_Toc123287712"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_Toc123287712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"_Toc123287713"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_Toc123287713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"_Toc123287714"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_Toc123287714 \h </w:instrText>
          </w:r>
          <w:r>
            <w:fldChar w:fldCharType="separate"/>
          </w:r>
          <w:r>
            <w:t>10</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23287700"/>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重庆</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1.20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1766.24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1</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14.10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23287701"/>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2"/>
        <w:ind w:left="432" w:hanging="432"/>
      </w:pPr>
      <w:bookmarkStart w:id="26" w:name="_Toc123287702"/>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交通建筑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13</w:t>
      </w:r>
      <w:r>
        <w:rPr>
          <w:rFonts w:ascii="微软雅黑" w:hAnsi="微软雅黑"/>
          <w:sz w:val="21"/>
          <w:szCs w:val="21"/>
        </w:rPr>
        <w:t xml:space="preserve">  </w:t>
      </w:r>
      <w:r>
        <w:rPr>
          <w:rFonts w:hint="eastAsia" w:ascii="微软雅黑" w:hAnsi="微软雅黑"/>
          <w:sz w:val="21"/>
          <w:szCs w:val="21"/>
        </w:rPr>
        <w:t>交通建筑的采光标准值不应低于表4.0.13的规定。</w:t>
      </w:r>
    </w:p>
    <w:p>
      <w:pPr>
        <w:pStyle w:val="27"/>
        <w:ind w:left="902" w:firstLine="0" w:firstLineChars="0"/>
        <w:rPr>
          <w:szCs w:val="21"/>
        </w:rPr>
      </w:pPr>
      <w:r>
        <w:rPr>
          <w:rFonts w:hint="eastAsia"/>
          <w:szCs w:val="21"/>
        </w:rPr>
        <w:t>表</w:t>
      </w:r>
      <w:r>
        <w:rPr>
          <w:szCs w:val="21"/>
        </w:rPr>
        <w:t>4.0.</w:t>
      </w:r>
      <w:r>
        <w:rPr>
          <w:rFonts w:hint="eastAsia"/>
          <w:szCs w:val="21"/>
        </w:rPr>
        <w:t>13</w:t>
      </w:r>
      <w:r>
        <w:rPr>
          <w:szCs w:val="21"/>
        </w:rPr>
        <w:t xml:space="preserve"> </w:t>
      </w:r>
      <w:r>
        <w:rPr>
          <w:rFonts w:hint="eastAsia"/>
          <w:szCs w:val="21"/>
        </w:rPr>
        <w:t>交通建筑的采光标准值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kern w:val="2"/>
                <w:szCs w:val="21"/>
              </w:rPr>
            </w:pPr>
            <w:r>
              <w:rPr>
                <w:rFonts w:hint="eastAsia"/>
                <w:kern w:val="2"/>
                <w:szCs w:val="21"/>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侧面采光</w:t>
            </w:r>
          </w:p>
        </w:tc>
        <w:tc>
          <w:tcPr>
            <w:tcW w:w="2693" w:type="dxa"/>
            <w:gridSpan w:val="2"/>
            <w:tcBorders>
              <w:top w:val="single" w:color="auto" w:sz="12" w:space="0"/>
              <w:left w:val="single" w:color="auto" w:sz="4" w:space="0"/>
              <w:bottom w:val="single" w:color="auto" w:sz="4" w:space="0"/>
              <w:right w:val="single" w:color="auto" w:sz="12" w:space="0"/>
            </w:tcBorders>
          </w:tcPr>
          <w:p>
            <w:pPr>
              <w:widowControl w:val="0"/>
              <w:rPr>
                <w:kern w:val="2"/>
                <w:szCs w:val="21"/>
              </w:rPr>
            </w:pPr>
            <w:r>
              <w:rPr>
                <w:rFonts w:hint="eastAsia"/>
                <w:kern w:val="2"/>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kern w:val="2"/>
                <w:szCs w:val="21"/>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pPr>
              <w:widowControl w:val="0"/>
              <w:rPr>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kern w:val="2"/>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kern w:val="2"/>
                <w:szCs w:val="21"/>
              </w:rPr>
            </w:pPr>
            <w:r>
              <w:rPr>
                <w:rFonts w:hint="eastAsia"/>
                <w:kern w:val="2"/>
                <w:szCs w:val="21"/>
              </w:rPr>
              <w:t>Ⅲ</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进站厅、候机（车）厅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kern w:val="2"/>
                <w:szCs w:val="21"/>
              </w:rPr>
            </w:pPr>
            <w:r>
              <w:rPr>
                <w:rFonts w:hint="eastAsia"/>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kern w:val="2"/>
                <w:szCs w:val="21"/>
              </w:rPr>
            </w:pPr>
            <w:r>
              <w:rPr>
                <w:rFonts w:hint="eastAsia"/>
                <w:kern w:val="2"/>
                <w:szCs w:val="21"/>
              </w:rPr>
              <w:t>Ⅳ</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rPr>
                <w:kern w:val="2"/>
                <w:szCs w:val="18"/>
              </w:rPr>
            </w:pPr>
            <w:r>
              <w:rPr>
                <w:rFonts w:hint="eastAsia"/>
                <w:kern w:val="2"/>
                <w:szCs w:val="18"/>
              </w:rPr>
              <w:t>出站厅、连接通道、自动扶梯</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kern w:val="2"/>
                <w:szCs w:val="21"/>
              </w:rPr>
            </w:pPr>
            <w:r>
              <w:rPr>
                <w:rFonts w:hint="eastAsia"/>
                <w:kern w:val="2"/>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kern w:val="2"/>
                <w:szCs w:val="21"/>
              </w:rPr>
            </w:pPr>
            <w:r>
              <w:rPr>
                <w:rFonts w:hint="eastAsia"/>
                <w:kern w:val="2"/>
                <w:szCs w:val="21"/>
              </w:rPr>
              <w:t>Ⅴ</w:t>
            </w:r>
          </w:p>
        </w:tc>
        <w:tc>
          <w:tcPr>
            <w:tcW w:w="2709"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站台、楼梯间、卫生间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kern w:val="2"/>
                <w:szCs w:val="21"/>
              </w:rPr>
            </w:pPr>
            <w:r>
              <w:rPr>
                <w:rFonts w:hint="eastAsia"/>
                <w:kern w:val="2"/>
                <w:szCs w:val="21"/>
              </w:rPr>
              <w:t>75</w:t>
            </w:r>
          </w:p>
        </w:tc>
      </w:tr>
    </w:tbl>
    <w:p>
      <w:pPr>
        <w:pStyle w:val="2"/>
        <w:ind w:left="432" w:hanging="432"/>
        <w:rPr>
          <w:rFonts w:ascii="微软雅黑" w:hAnsi="微软雅黑"/>
        </w:rPr>
      </w:pPr>
      <w:bookmarkStart w:id="28" w:name="_Toc290209336"/>
      <w:bookmarkStart w:id="29" w:name="_Toc290149054"/>
      <w:bookmarkStart w:id="30" w:name="_Toc290209312"/>
      <w:bookmarkStart w:id="31" w:name="_Toc312399791"/>
      <w:bookmarkStart w:id="32" w:name="_Toc264569232"/>
      <w:bookmarkStart w:id="33" w:name="_Toc264043625"/>
      <w:bookmarkStart w:id="34" w:name="_Toc275165382"/>
      <w:bookmarkStart w:id="35" w:name="_Toc123287703"/>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23287704"/>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312399796"/>
      <w:bookmarkStart w:id="38" w:name="_Toc264043630"/>
      <w:bookmarkStart w:id="39" w:name="_Toc290209317"/>
      <w:bookmarkStart w:id="40" w:name="_Toc290149059"/>
      <w:bookmarkStart w:id="41" w:name="_Toc275165387"/>
      <w:bookmarkStart w:id="42" w:name="_Toc290209341"/>
      <w:bookmarkStart w:id="43"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23287705"/>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23287706"/>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23287707"/>
      <w:r>
        <w:rPr>
          <w:rFonts w:hint="eastAsia"/>
        </w:rPr>
        <w:t>采光计算</w:t>
      </w:r>
      <w:r>
        <w:t>参数</w:t>
      </w:r>
      <w:r>
        <w:rPr>
          <w:rFonts w:hint="eastAsia"/>
        </w:rPr>
        <w:t>取值</w:t>
      </w:r>
      <w:bookmarkEnd w:id="47"/>
    </w:p>
    <w:p>
      <w:pPr>
        <w:pStyle w:val="4"/>
      </w:pPr>
      <w:bookmarkStart w:id="48" w:name="_Toc290209340"/>
      <w:bookmarkStart w:id="49" w:name="_Toc264569236"/>
      <w:bookmarkStart w:id="50" w:name="_Toc264043629"/>
      <w:bookmarkStart w:id="51" w:name="_Toc290149058"/>
      <w:bookmarkStart w:id="52" w:name="_Toc290209316"/>
      <w:bookmarkStart w:id="53" w:name="_Toc312399795"/>
      <w:bookmarkStart w:id="54" w:name="_Toc275165386"/>
      <w:bookmarkStart w:id="55" w:name="_Toc123287708"/>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23287709"/>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78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1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875"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1648"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1648"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1648"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1648"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1648"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23287710"/>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23287711"/>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4601</w:t>
            </w:r>
          </w:p>
        </w:tc>
        <w:tc>
          <w:tcPr>
            <w:tcW w:w="1245" w:type="dxa"/>
            <w:vAlign w:val="center"/>
          </w:tcPr>
          <w:p>
            <w:r>
              <w:t>10800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2"/>
        <w:ind w:left="432" w:hanging="432"/>
      </w:pPr>
      <w:bookmarkStart w:id="72" w:name="窗污染折减系数"/>
      <w:bookmarkEnd w:id="72"/>
      <w:bookmarkStart w:id="73" w:name="_Toc123287712"/>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123"/>
        <w:gridCol w:w="1028"/>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shd w:val="clear" w:color="auto" w:fill="E6E6E6"/>
            <w:vAlign w:val="center"/>
          </w:tcPr>
          <w:p>
            <w:r>
              <w:t>楼层</w:t>
            </w:r>
          </w:p>
        </w:tc>
        <w:tc>
          <w:tcPr>
            <w:tcW w:w="1076" w:type="dxa"/>
            <w:shd w:val="clear" w:color="auto" w:fill="E6E6E6"/>
            <w:vAlign w:val="center"/>
          </w:tcPr>
          <w:p>
            <w:r>
              <w:t>房间编号</w:t>
            </w:r>
          </w:p>
        </w:tc>
        <w:tc>
          <w:tcPr>
            <w:tcW w:w="1123" w:type="dxa"/>
            <w:shd w:val="clear" w:color="auto" w:fill="E6E6E6"/>
            <w:vAlign w:val="center"/>
          </w:tcPr>
          <w:p>
            <w:r>
              <w:t>房间类型</w:t>
            </w:r>
          </w:p>
        </w:tc>
        <w:tc>
          <w:tcPr>
            <w:tcW w:w="1028"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2" w:type="dxa"/>
            <w:shd w:val="clear" w:color="auto" w:fill="E6E6E6"/>
            <w:vAlign w:val="center"/>
          </w:tcPr>
          <w:p>
            <w:pPr>
              <w:rPr>
                <w:rFonts w:hint="eastAsia" w:eastAsia="微软雅黑"/>
                <w:lang w:eastAsia="zh-CN"/>
              </w:rPr>
            </w:pPr>
            <w:r>
              <w:t>采光系数</w:t>
            </w:r>
          </w:p>
          <w:p>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restart"/>
            <w:vAlign w:val="center"/>
          </w:tcPr>
          <w:p>
            <w:r>
              <w:t>1</w:t>
            </w:r>
          </w:p>
        </w:tc>
        <w:tc>
          <w:tcPr>
            <w:tcW w:w="1076" w:type="dxa"/>
            <w:vAlign w:val="center"/>
          </w:tcPr>
          <w:p>
            <w:r>
              <w:t>0101</w:t>
            </w:r>
          </w:p>
        </w:tc>
        <w:tc>
          <w:tcPr>
            <w:tcW w:w="1123" w:type="dxa"/>
            <w:vAlign w:val="center"/>
          </w:tcPr>
          <w:p>
            <w:r>
              <w:t>候机(车)大厅</w:t>
            </w:r>
          </w:p>
        </w:tc>
        <w:tc>
          <w:tcPr>
            <w:tcW w:w="1028" w:type="dxa"/>
            <w:vAlign w:val="center"/>
          </w:tcPr>
          <w:p>
            <w:r>
              <w:t>III</w:t>
            </w:r>
          </w:p>
        </w:tc>
        <w:tc>
          <w:tcPr>
            <w:tcW w:w="1075" w:type="dxa"/>
            <w:vAlign w:val="center"/>
          </w:tcPr>
          <w:p>
            <w:r>
              <w:t>侧面</w:t>
            </w:r>
          </w:p>
        </w:tc>
        <w:tc>
          <w:tcPr>
            <w:tcW w:w="1075" w:type="dxa"/>
            <w:vAlign w:val="center"/>
          </w:tcPr>
          <w:p>
            <w:r>
              <w:t>1022.19</w:t>
            </w:r>
          </w:p>
        </w:tc>
        <w:tc>
          <w:tcPr>
            <w:tcW w:w="1075" w:type="dxa"/>
            <w:vAlign w:val="center"/>
          </w:tcPr>
          <w:p>
            <w:r>
              <w:t>6.29</w:t>
            </w:r>
          </w:p>
        </w:tc>
        <w:tc>
          <w:tcPr>
            <w:tcW w:w="1302" w:type="dxa"/>
            <w:vAlign w:val="center"/>
          </w:tcPr>
          <w:p>
            <w:r>
              <w:t>3.60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0104</w:t>
            </w:r>
          </w:p>
        </w:tc>
        <w:tc>
          <w:tcPr>
            <w:tcW w:w="1123" w:type="dxa"/>
            <w:vAlign w:val="center"/>
          </w:tcPr>
          <w:p>
            <w:r>
              <w:t>候机(车)大厅</w:t>
            </w:r>
          </w:p>
        </w:tc>
        <w:tc>
          <w:tcPr>
            <w:tcW w:w="1028" w:type="dxa"/>
            <w:vAlign w:val="center"/>
          </w:tcPr>
          <w:p>
            <w:r>
              <w:t>III</w:t>
            </w:r>
          </w:p>
        </w:tc>
        <w:tc>
          <w:tcPr>
            <w:tcW w:w="1075" w:type="dxa"/>
            <w:vAlign w:val="center"/>
          </w:tcPr>
          <w:p>
            <w:r>
              <w:t>侧面</w:t>
            </w:r>
          </w:p>
        </w:tc>
        <w:tc>
          <w:tcPr>
            <w:tcW w:w="1075" w:type="dxa"/>
            <w:vAlign w:val="center"/>
          </w:tcPr>
          <w:p>
            <w:r>
              <w:t>529.11</w:t>
            </w:r>
          </w:p>
        </w:tc>
        <w:tc>
          <w:tcPr>
            <w:tcW w:w="1075" w:type="dxa"/>
            <w:vAlign w:val="center"/>
          </w:tcPr>
          <w:p>
            <w:r>
              <w:t>6.83</w:t>
            </w:r>
          </w:p>
        </w:tc>
        <w:tc>
          <w:tcPr>
            <w:tcW w:w="1302" w:type="dxa"/>
            <w:vAlign w:val="center"/>
          </w:tcPr>
          <w:p>
            <w:r>
              <w:t>3.60</w:t>
            </w:r>
          </w:p>
        </w:tc>
        <w:tc>
          <w:tcPr>
            <w:tcW w:w="922" w:type="dxa"/>
            <w:vAlign w:val="center"/>
          </w:tcPr>
          <w:p>
            <w:r>
              <w:t>满足</w:t>
            </w:r>
          </w:p>
        </w:tc>
      </w:tr>
    </w:tbl>
    <w:p>
      <w:pPr>
        <w:pStyle w:val="3"/>
        <w:rPr>
          <w:rFonts w:ascii="宋体" w:hAnsi="宋体"/>
          <w:sz w:val="18"/>
          <w:szCs w:val="18"/>
          <w:lang w:val="en-US"/>
        </w:rPr>
      </w:pPr>
    </w:p>
    <w:p>
      <w:pPr>
        <w:pStyle w:val="2"/>
        <w:ind w:left="432" w:hanging="432"/>
      </w:pPr>
      <w:bookmarkStart w:id="75" w:name="_Toc123287713"/>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3886200" cy="8010525"/>
            <wp:effectExtent l="0" t="0" r="0" b="571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3886200" cy="8010525"/>
                    </a:xfrm>
                    <a:prstGeom prst="rect">
                      <a:avLst/>
                    </a:prstGeom>
                  </pic:spPr>
                </pic:pic>
              </a:graphicData>
            </a:graphic>
          </wp:inline>
        </w:drawing>
      </w:r>
    </w:p>
    <w:p>
      <w:pPr>
        <w:rPr>
          <w:rFonts w:hint="eastAsia"/>
          <w:lang w:val="en-US" w:eastAsia="zh-CN"/>
        </w:rPr>
      </w:pPr>
      <w:r>
        <w:rPr>
          <w:rFonts w:hint="eastAsia"/>
          <w:lang w:val="en-US" w:eastAsia="zh-CN"/>
        </w:rPr>
        <w:t>自然采光系数区间图</w:t>
      </w:r>
    </w:p>
    <w:p>
      <w:pPr>
        <w:rPr>
          <w:rFonts w:hint="eastAsia"/>
          <w:lang w:val="en-US" w:eastAsia="zh-CN"/>
        </w:rPr>
      </w:pPr>
      <w:bookmarkStart w:id="80" w:name="_GoBack"/>
      <w:r>
        <w:rPr>
          <w:rFonts w:hint="eastAsia"/>
          <w:lang w:val="en-US" w:eastAsia="zh-CN"/>
        </w:rPr>
        <w:drawing>
          <wp:inline distT="0" distB="0" distL="114300" distR="114300">
            <wp:extent cx="3676015" cy="8009890"/>
            <wp:effectExtent l="0" t="0" r="635" b="10160"/>
            <wp:docPr id="5" name="图片 5" descr="火车站首层1.1_t8-1层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火车站首层1.1_t8-1层彩图"/>
                    <pic:cNvPicPr>
                      <a:picLocks noChangeAspect="1"/>
                    </pic:cNvPicPr>
                  </pic:nvPicPr>
                  <pic:blipFill>
                    <a:blip r:embed="rId10"/>
                    <a:stretch>
                      <a:fillRect/>
                    </a:stretch>
                  </pic:blipFill>
                  <pic:spPr>
                    <a:xfrm>
                      <a:off x="0" y="0"/>
                      <a:ext cx="3676015" cy="8009890"/>
                    </a:xfrm>
                    <a:prstGeom prst="rect">
                      <a:avLst/>
                    </a:prstGeom>
                  </pic:spPr>
                </pic:pic>
              </a:graphicData>
            </a:graphic>
          </wp:inline>
        </w:drawing>
      </w:r>
      <w:bookmarkEnd w:id="80"/>
    </w:p>
    <w:p>
      <w:pPr>
        <w:rPr>
          <w:rFonts w:hint="eastAsia"/>
          <w:lang w:val="en-US" w:eastAsia="zh-CN"/>
        </w:rPr>
      </w:pPr>
      <w:r>
        <w:rPr>
          <w:rFonts w:hint="eastAsia"/>
          <w:lang w:val="en-US" w:eastAsia="zh-CN"/>
        </w:rPr>
        <w:t>自然采光系数过度图</w:t>
      </w:r>
    </w:p>
    <w:p>
      <w:pPr>
        <w:rPr>
          <w:rFonts w:hint="default"/>
          <w:lang w:val="en-US" w:eastAsia="zh-CN"/>
        </w:rPr>
      </w:pPr>
    </w:p>
    <w:p/>
    <w:p>
      <w:pPr>
        <w:pStyle w:val="2"/>
        <w:ind w:left="432" w:hanging="432"/>
      </w:pPr>
      <w:bookmarkStart w:id="77" w:name="_Toc123287714"/>
      <w:r>
        <w:rPr>
          <w:rFonts w:hint="eastAsia"/>
        </w:rPr>
        <w:t>结论</w:t>
      </w:r>
      <w:bookmarkEnd w:id="77"/>
    </w:p>
    <w:p>
      <w:pPr>
        <w:pStyle w:val="3"/>
        <w:ind w:firstLine="420"/>
        <w:rPr>
          <w:rFonts w:hint="eastAsia"/>
        </w:rPr>
      </w:pPr>
      <w:r>
        <w:rPr>
          <w:rFonts w:hint="eastAsia"/>
          <w:lang w:val="en-US"/>
        </w:rPr>
        <w:t>通过对本建筑的采光模拟和统计分析，根据满足</w:t>
      </w:r>
      <w:r>
        <w:t>《建筑环境通用规范》GB 55016-2021</w:t>
      </w:r>
      <w:r>
        <w:rPr>
          <w:rFonts w:hint="eastAsia"/>
        </w:rPr>
        <w:t>、</w:t>
      </w:r>
    </w:p>
    <w:p>
      <w:pPr>
        <w:pStyle w:val="3"/>
        <w:ind w:firstLine="420"/>
        <w:rPr>
          <w:lang w:val="en-US"/>
        </w:rPr>
      </w:pP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不满足非强条的房间</w:t>
            </w:r>
          </w:p>
        </w:tc>
        <w:tc>
          <w:tcPr>
            <w:tcW w:w="2263" w:type="dxa"/>
            <w:shd w:val="clear" w:color="auto" w:fill="E6E6E6"/>
            <w:vAlign w:val="center"/>
          </w:tcPr>
          <w:p>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pPr>
              <w:rPr>
                <w:rFonts w:hint="default" w:eastAsia="微软雅黑"/>
                <w:lang w:val="en-US" w:eastAsia="zh-CN"/>
              </w:rPr>
            </w:pPr>
            <w:r>
              <w:rPr>
                <w:rFonts w:hint="eastAsia"/>
                <w:lang w:val="en-US" w:eastAsia="zh-CN"/>
              </w:rPr>
              <w:t>16</w:t>
            </w:r>
          </w:p>
        </w:tc>
        <w:tc>
          <w:tcPr>
            <w:tcW w:w="1075" w:type="dxa"/>
            <w:vAlign w:val="center"/>
          </w:tcPr>
          <w:p>
            <w:pPr>
              <w:rPr>
                <w:rFonts w:hint="default" w:eastAsia="微软雅黑"/>
                <w:lang w:val="en-US" w:eastAsia="zh-CN"/>
              </w:rPr>
            </w:pPr>
            <w:r>
              <w:rPr>
                <w:rFonts w:hint="eastAsia"/>
                <w:lang w:val="en-US" w:eastAsia="zh-CN"/>
              </w:rPr>
              <w:t>16</w:t>
            </w:r>
          </w:p>
        </w:tc>
        <w:tc>
          <w:tcPr>
            <w:tcW w:w="1075" w:type="dxa"/>
            <w:vAlign w:val="center"/>
          </w:tcPr>
          <w:p>
            <w:r>
              <w:t>100.00</w:t>
            </w:r>
          </w:p>
        </w:tc>
        <w:tc>
          <w:tcPr>
            <w:tcW w:w="2433" w:type="dxa"/>
            <w:vAlign w:val="center"/>
          </w:tcPr>
          <w:p>
            <w:pPr>
              <w:rPr>
                <w:rFonts w:hint="eastAsia" w:eastAsia="微软雅黑"/>
                <w:lang w:val="en-US" w:eastAsia="zh-CN"/>
              </w:rPr>
            </w:pPr>
            <w:r>
              <w:rPr>
                <w:rFonts w:hint="eastAsia"/>
                <w:lang w:val="en-US" w:eastAsia="zh-CN"/>
              </w:rPr>
              <w:t>0</w:t>
            </w:r>
          </w:p>
        </w:tc>
        <w:tc>
          <w:tcPr>
            <w:tcW w:w="2263" w:type="dxa"/>
            <w:vAlign w:val="center"/>
          </w:tcPr>
          <w:p>
            <w:pPr>
              <w:rPr>
                <w:rFonts w:hint="eastAsia" w:eastAsia="微软雅黑"/>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1551.30</w:t>
            </w:r>
          </w:p>
        </w:tc>
        <w:tc>
          <w:tcPr>
            <w:tcW w:w="1075" w:type="dxa"/>
            <w:vAlign w:val="center"/>
          </w:tcPr>
          <w:p>
            <w:r>
              <w:t>1551.30</w:t>
            </w:r>
          </w:p>
        </w:tc>
        <w:tc>
          <w:tcPr>
            <w:tcW w:w="1075" w:type="dxa"/>
            <w:vAlign w:val="center"/>
          </w:tcPr>
          <w:p>
            <w:r>
              <w:t>100.00</w:t>
            </w:r>
          </w:p>
        </w:tc>
        <w:tc>
          <w:tcPr>
            <w:tcW w:w="2433" w:type="dxa"/>
            <w:vAlign w:val="center"/>
          </w:tcPr>
          <w:p>
            <w:pPr>
              <w:rPr>
                <w:rFonts w:hint="eastAsia" w:eastAsia="微软雅黑"/>
                <w:lang w:eastAsia="zh-CN"/>
              </w:rPr>
            </w:pPr>
            <w:r>
              <w:rPr>
                <w:rFonts w:hint="eastAsia"/>
                <w:lang w:val="en-US" w:eastAsia="zh-CN"/>
              </w:rPr>
              <w:t>0</w:t>
            </w:r>
          </w:p>
        </w:tc>
        <w:tc>
          <w:tcPr>
            <w:tcW w:w="2263" w:type="dxa"/>
            <w:vAlign w:val="center"/>
          </w:tcPr>
          <w:p>
            <w:pPr>
              <w:rPr>
                <w:rFonts w:hint="eastAsia" w:eastAsia="微软雅黑"/>
                <w:lang w:eastAsia="zh-CN"/>
              </w:rPr>
            </w:pPr>
            <w:r>
              <w:rPr>
                <w:rFonts w:hint="eastAsia"/>
                <w:lang w:val="en-US" w:eastAsia="zh-CN"/>
              </w:rPr>
              <w:t>0</w:t>
            </w:r>
          </w:p>
        </w:tc>
      </w:tr>
    </w:tbl>
    <w:p>
      <w:pPr>
        <w:rPr>
          <w:lang w:val="en-US"/>
        </w:rPr>
      </w:pPr>
    </w:p>
    <w:p>
      <w:bookmarkStart w:id="79" w:name="总平面图"/>
      <w:bookmarkEnd w:id="79"/>
    </w:p>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YTg0MGI0NTA4OTM3YzU4ZmVmMWRlYjE3ZDZmYzhiYjcifQ=="/>
  </w:docVars>
  <w:rsids>
    <w:rsidRoot w:val="00217F62"/>
    <w:rsid w:val="001915A3"/>
    <w:rsid w:val="00217F62"/>
    <w:rsid w:val="004E62AB"/>
    <w:rsid w:val="00A906D8"/>
    <w:rsid w:val="00AB5A74"/>
    <w:rsid w:val="00B93B47"/>
    <w:rsid w:val="00F071AE"/>
    <w:rsid w:val="0D031FF7"/>
    <w:rsid w:val="28903D44"/>
    <w:rsid w:val="39A14F85"/>
    <w:rsid w:val="3A245051"/>
    <w:rsid w:val="47344B1D"/>
    <w:rsid w:val="648E22A5"/>
    <w:rsid w:val="70140C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Normal</Template>
  <Company>ths</Company>
  <Pages>10</Pages>
  <Words>2883</Words>
  <Characters>3494</Characters>
  <Lines>34</Lines>
  <Paragraphs>9</Paragraphs>
  <TotalTime>5</TotalTime>
  <ScaleCrop>false</ScaleCrop>
  <LinksUpToDate>false</LinksUpToDate>
  <CharactersWithSpaces>3653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Jacob Lee</cp:lastModifiedBy>
  <cp:lastPrinted>2411-12-31T16:00:00Z</cp:lastPrinted>
  <dcterms:modified xsi:type="dcterms:W3CDTF">2022-12-31T06:21:20Z</dcterms:modified>
  <dc:title>建筑采光分析报告书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7A7FD15A285B40A6845E735F58E55F84</vt:lpwstr>
  </property>
</Properties>
</file>