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工程说明介绍</w:t>
      </w:r>
    </w:p>
    <w:p>
      <w:pPr>
        <w:numPr>
          <w:ilvl w:val="0"/>
          <w:numId w:val="1"/>
        </w:numP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项目概况</w:t>
      </w:r>
    </w:p>
    <w:p>
      <w:pPr>
        <w:keepNext w:val="0"/>
        <w:keepLines w:val="0"/>
        <w:widowControl/>
        <w:suppressLineNumbers w:val="0"/>
        <w:ind w:firstLine="420" w:firstLineChars="200"/>
        <w:jc w:val="left"/>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sz w:val="21"/>
          <w:szCs w:val="21"/>
          <w:lang w:val="en-US" w:eastAsia="zh-CN"/>
        </w:rPr>
        <w:t>项目选址位于河南省郑州市二七区</w:t>
      </w:r>
      <w:r>
        <w:rPr>
          <w:rFonts w:hint="eastAsia" w:asciiTheme="minorEastAsia" w:hAnsiTheme="minorEastAsia" w:eastAsiaTheme="minorEastAsia" w:cstheme="minorEastAsia"/>
          <w:color w:val="000000"/>
          <w:kern w:val="0"/>
          <w:sz w:val="21"/>
          <w:szCs w:val="21"/>
          <w:lang w:val="en-US" w:eastAsia="zh-CN" w:bidi="ar"/>
        </w:rPr>
        <w:t>于河南工业大学嵩山路校区内，用地红线范围面积约 9800㎡。该项目东侧为嵩山路，西侧为学术报告厅和校医院，南侧为金水河，北侧为实验楼，用地地势平坦。本项目定位为老年人服务设施，为周边社区的老年人提供社区日托养老服务。</w:t>
      </w:r>
    </w:p>
    <w:p>
      <w:pPr>
        <w:keepNext w:val="0"/>
        <w:keepLines w:val="0"/>
        <w:widowControl/>
        <w:suppressLineNumbers w:val="0"/>
        <w:ind w:firstLine="420" w:firstLineChars="200"/>
        <w:jc w:val="left"/>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在想象了后疫情背景下的时代生活后，我们认为后疫情时代下，人们的交际将会变成全新的模式，交际时人们的距离处于一种或近或远的矛盾感。在这样的背景下，我们将此</w:t>
      </w:r>
      <w:r>
        <w:rPr>
          <w:rFonts w:hint="eastAsia" w:asciiTheme="minorEastAsia" w:hAnsiTheme="minorEastAsia" w:cstheme="minorEastAsia"/>
          <w:color w:val="000000"/>
          <w:kern w:val="0"/>
          <w:sz w:val="21"/>
          <w:szCs w:val="21"/>
          <w:lang w:val="en-US" w:eastAsia="zh-CN" w:bidi="ar"/>
        </w:rPr>
        <w:t>图书馆</w:t>
      </w:r>
      <w:r>
        <w:rPr>
          <w:rFonts w:hint="eastAsia" w:asciiTheme="minorEastAsia" w:hAnsiTheme="minorEastAsia" w:eastAsiaTheme="minorEastAsia" w:cstheme="minorEastAsia"/>
          <w:color w:val="000000"/>
          <w:kern w:val="0"/>
          <w:sz w:val="21"/>
          <w:szCs w:val="21"/>
          <w:lang w:val="en-US" w:eastAsia="zh-CN" w:bidi="ar"/>
        </w:rPr>
        <w:t>建筑更为养老活</w:t>
      </w:r>
      <w:bookmarkStart w:id="0" w:name="_GoBack"/>
      <w:bookmarkEnd w:id="0"/>
      <w:r>
        <w:rPr>
          <w:rFonts w:hint="eastAsia" w:asciiTheme="minorEastAsia" w:hAnsiTheme="minorEastAsia" w:eastAsiaTheme="minorEastAsia" w:cstheme="minorEastAsia"/>
          <w:color w:val="000000"/>
          <w:kern w:val="0"/>
          <w:sz w:val="21"/>
          <w:szCs w:val="21"/>
          <w:lang w:val="en-US" w:eastAsia="zh-CN" w:bidi="ar"/>
        </w:rPr>
        <w:t>动中心，可以养老，更可以成为满足人们矛盾感的一个交流活动中心。在屋顶覆盖绿植的同时，打开屋顶的开放性，在二三层上下两层设置交错的环道空间，周边人群可通过室外楼梯进入“交际圈”。同时内部养老区域也与此区域半开放，也能满足老人与家庭的共度时光</w:t>
      </w:r>
      <w:r>
        <w:rPr>
          <w:rFonts w:hint="eastAsia" w:asciiTheme="minorEastAsia" w:hAnsiTheme="minorEastAsia" w:cstheme="minorEastAsia"/>
          <w:color w:val="000000"/>
          <w:kern w:val="0"/>
          <w:sz w:val="21"/>
          <w:szCs w:val="21"/>
          <w:lang w:val="en-US" w:eastAsia="zh-CN" w:bidi="ar"/>
        </w:rPr>
        <w:t>。</w:t>
      </w:r>
      <w:r>
        <w:rPr>
          <w:rFonts w:hint="eastAsia" w:asciiTheme="minorEastAsia" w:hAnsiTheme="minorEastAsia" w:eastAsiaTheme="minorEastAsia" w:cstheme="minorEastAsia"/>
          <w:color w:val="000000"/>
          <w:kern w:val="0"/>
          <w:sz w:val="21"/>
          <w:szCs w:val="21"/>
          <w:lang w:val="en-US" w:eastAsia="zh-CN" w:bidi="ar"/>
        </w:rPr>
        <w:t>我国传统习惯更偏向于和子女在一起居家养老，因此对于入住养老机构，大部分人是因子女不方便照顾而选择入住，另外一部分人因为机构生活较舒适而选择入住，为了交友和其他原因的入住比例较低。我们将养老设施的人群定位为较高收入人群的亲属，且建立了一个类似于“旅馆生活”的日托式养老活动中心，旨在建立一个设备完善智能，且舒适度高，环境优美的花园式绿色养老活动中心建筑。</w:t>
      </w:r>
    </w:p>
    <w:p>
      <w:pPr>
        <w:keepNext w:val="0"/>
        <w:keepLines w:val="0"/>
        <w:widowControl/>
        <w:suppressLineNumbers w:val="0"/>
        <w:ind w:firstLine="420" w:firstLineChars="200"/>
        <w:jc w:val="left"/>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建筑主体是围合式的一个形式，建筑中间有一个大的庭院，并且有两个天井，开窗上也使用了一些玻璃幕墙。在屋顶上也安装了许多的光伏发电的太阳能板以及雨水收集装置来对自然资源的一个收集和利用。</w:t>
      </w:r>
    </w:p>
    <w:p>
      <w:pPr>
        <w:keepNext w:val="0"/>
        <w:keepLines w:val="0"/>
        <w:widowControl/>
        <w:numPr>
          <w:ilvl w:val="0"/>
          <w:numId w:val="2"/>
        </w:numPr>
        <w:suppressLineNumbers w:val="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历史背景</w:t>
      </w:r>
    </w:p>
    <w:p>
      <w:pPr>
        <w:keepNext w:val="0"/>
        <w:keepLines w:val="0"/>
        <w:widowControl/>
        <w:suppressLineNumbers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color w:val="000000"/>
          <w:kern w:val="0"/>
          <w:sz w:val="21"/>
          <w:szCs w:val="21"/>
          <w:lang w:val="en-US" w:eastAsia="zh-CN" w:bidi="ar"/>
        </w:rPr>
        <w:t>河南工业大学嵩山路校区位于郑州市嵩山南路140号，占地面积350亩，为原郑州工程学院校区。原郑州工程学院历经中央粮食干部学校（1956年）、北京粮食专科学校（1959年）、郑州粮食学院（1960年）、郑州工程学院（2000年）。经过几代人的不懈努力，学校从专门从事粮食干部培训的学校，发展成为一所以工科为主，多科性的本科院校，办学规模、专业设置不断扩大，办学特色鲜明，成为国家培养粮油食品等多个学科专门人才的主要培养基地，对粮食行业及经济社会的发展做出了积极贡献。河南工业大学老校区的图书馆建于上世纪 80 年代，建筑面积约 4100㎡。后来随着新校区的成立，大量师生迁移到新校区，此后老校区图书馆日渐老化和衰落。但是老校区图书馆的品质与历史依然矗立在那里。</w:t>
      </w:r>
    </w:p>
    <w:p>
      <w:pPr>
        <w:keepNext w:val="0"/>
        <w:keepLines w:val="0"/>
        <w:widowControl/>
        <w:numPr>
          <w:ilvl w:val="0"/>
          <w:numId w:val="2"/>
        </w:numPr>
        <w:suppressLineNumbers w:val="0"/>
        <w:ind w:left="0" w:leftChars="0" w:firstLine="0" w:firstLineChars="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项目建设内容</w:t>
      </w:r>
    </w:p>
    <w:p>
      <w:pPr>
        <w:keepNext w:val="0"/>
        <w:keepLines w:val="0"/>
        <w:widowControl/>
        <w:numPr>
          <w:ilvl w:val="0"/>
          <w:numId w:val="0"/>
        </w:numPr>
        <w:suppressLineNumbers w:val="0"/>
        <w:ind w:leftChars="0" w:firstLine="420"/>
        <w:jc w:val="left"/>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该项目原有建筑主要为主体的一个四层建筑以及一个一层的小的庭院还有一个与主体建筑相连接的一个一层的建筑。原建筑面积</w:t>
      </w:r>
      <w:r>
        <w:rPr>
          <w:rFonts w:hint="eastAsia" w:asciiTheme="minorEastAsia" w:hAnsiTheme="minorEastAsia" w:eastAsiaTheme="minorEastAsia" w:cstheme="minorEastAsia"/>
          <w:color w:val="000000"/>
          <w:kern w:val="0"/>
          <w:sz w:val="21"/>
          <w:szCs w:val="21"/>
          <w:lang w:val="en-US" w:eastAsia="zh-CN" w:bidi="ar"/>
        </w:rPr>
        <w:t>约 4100㎡，规划面积约为9800㎡，改造后建筑面积</w:t>
      </w:r>
      <w:r>
        <w:rPr>
          <w:rFonts w:hint="eastAsia" w:asciiTheme="minorEastAsia" w:hAnsiTheme="minorEastAsia" w:cstheme="minorEastAsia"/>
          <w:color w:val="000000"/>
          <w:kern w:val="0"/>
          <w:sz w:val="21"/>
          <w:szCs w:val="21"/>
          <w:lang w:val="en-US" w:eastAsia="zh-CN" w:bidi="ar"/>
        </w:rPr>
        <w:t>6180</w:t>
      </w:r>
      <w:r>
        <w:rPr>
          <w:rFonts w:hint="eastAsia" w:asciiTheme="minorEastAsia" w:hAnsiTheme="minorEastAsia" w:eastAsiaTheme="minorEastAsia" w:cstheme="minorEastAsia"/>
          <w:color w:val="000000"/>
          <w:kern w:val="0"/>
          <w:sz w:val="21"/>
          <w:szCs w:val="21"/>
          <w:lang w:val="en-US" w:eastAsia="zh-CN" w:bidi="ar"/>
        </w:rPr>
        <w:t>㎡</w:t>
      </w:r>
      <w:r>
        <w:rPr>
          <w:rFonts w:hint="eastAsia" w:asciiTheme="minorEastAsia" w:hAnsiTheme="minorEastAsia" w:cstheme="minorEastAsia"/>
          <w:color w:val="000000"/>
          <w:kern w:val="0"/>
          <w:sz w:val="21"/>
          <w:szCs w:val="21"/>
          <w:lang w:val="en-US" w:eastAsia="zh-CN" w:bidi="ar"/>
        </w:rPr>
        <w:t>。</w:t>
      </w:r>
    </w:p>
    <w:p>
      <w:pPr>
        <w:keepNext w:val="0"/>
        <w:keepLines w:val="0"/>
        <w:widowControl/>
        <w:numPr>
          <w:ilvl w:val="0"/>
          <w:numId w:val="2"/>
        </w:numPr>
        <w:suppressLineNumbers w:val="0"/>
        <w:ind w:left="0" w:leftChars="0" w:firstLine="0" w:firstLineChars="0"/>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设计标高</w:t>
      </w:r>
    </w:p>
    <w:p>
      <w:pPr>
        <w:bidi w:val="0"/>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各层标注标高为建筑完成面标高，屋面标高为结构地面标高</w:t>
      </w:r>
      <w:r>
        <w:rPr>
          <w:rFonts w:hint="eastAsia" w:asciiTheme="minorEastAsia" w:hAnsiTheme="minorEastAsia" w:cstheme="minorEastAsia"/>
          <w:lang w:eastAsia="zh-CN"/>
        </w:rPr>
        <w:t>，</w:t>
      </w:r>
      <w:r>
        <w:rPr>
          <w:rFonts w:hint="eastAsia" w:asciiTheme="minorEastAsia" w:hAnsiTheme="minorEastAsia" w:cstheme="minorEastAsia"/>
          <w:lang w:val="en-US" w:eastAsia="zh-CN"/>
        </w:rPr>
        <w:t>建筑总高度为14.55M</w:t>
      </w:r>
      <w:r>
        <w:rPr>
          <w:rFonts w:hint="eastAsia" w:asciiTheme="minorEastAsia" w:hAnsiTheme="minorEastAsia" w:eastAsiaTheme="minorEastAsia" w:cstheme="minorEastAsia"/>
        </w:rPr>
        <w:t>。本工程标高以“m”为单位，总平面尺时以“m”为单位，其他尺寸以“mm”为单位。</w:t>
      </w:r>
    </w:p>
    <w:p>
      <w:pPr>
        <w:numPr>
          <w:ilvl w:val="0"/>
          <w:numId w:val="2"/>
        </w:numPr>
        <w:bidi w:val="0"/>
        <w:ind w:left="0" w:leftChars="0" w:firstLine="0"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项目建设背景及必要性</w:t>
      </w:r>
    </w:p>
    <w:p>
      <w:pPr>
        <w:numPr>
          <w:ilvl w:val="0"/>
          <w:numId w:val="3"/>
        </w:numPr>
        <w:bidi w:val="0"/>
        <w:ind w:left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现阶段改造过程中存在的问题</w:t>
      </w:r>
    </w:p>
    <w:p>
      <w:pPr>
        <w:numPr>
          <w:ilvl w:val="0"/>
          <w:numId w:val="4"/>
        </w:numPr>
        <w:bidi w:val="0"/>
        <w:ind w:left="420" w:leftChars="0" w:firstLine="0"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旧建筑主要采用的是砖墙，在保温性能上会有点缺点，并且会有比较大的耗能。</w:t>
      </w:r>
    </w:p>
    <w:p>
      <w:pPr>
        <w:numPr>
          <w:ilvl w:val="0"/>
          <w:numId w:val="4"/>
        </w:numPr>
        <w:bidi w:val="0"/>
        <w:ind w:left="420" w:leftChars="0" w:firstLine="0"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现有建筑外立面较为破烂不堪，使用的水刷石或者清水砖覆盖也是会对环境有一定的影响。</w:t>
      </w:r>
    </w:p>
    <w:p>
      <w:pPr>
        <w:numPr>
          <w:ilvl w:val="0"/>
          <w:numId w:val="4"/>
        </w:numPr>
        <w:bidi w:val="0"/>
        <w:ind w:left="420" w:leftChars="0" w:firstLine="0"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改造前和改造后建筑的使用人群完全不相同，对老年人要有一些特殊的设计和照顾。</w:t>
      </w:r>
    </w:p>
    <w:p>
      <w:pPr>
        <w:numPr>
          <w:ilvl w:val="0"/>
          <w:numId w:val="4"/>
        </w:numPr>
        <w:bidi w:val="0"/>
        <w:ind w:left="420" w:leftChars="0" w:firstLine="0"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整个建筑内部进深较深，自然采光无法到达那么远的距离，大多数时间采用的是人工采光，会耗费大量的资源。</w:t>
      </w:r>
    </w:p>
    <w:p>
      <w:pPr>
        <w:numPr>
          <w:ilvl w:val="0"/>
          <w:numId w:val="4"/>
        </w:numPr>
        <w:bidi w:val="0"/>
        <w:ind w:left="420" w:leftChars="0" w:firstLine="0"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由于是改造成为老活动中心，服务的范围以及针对的人群会比较复杂，针对不同需求的老年人要有不同的功能来满足他们的需求。</w:t>
      </w:r>
    </w:p>
    <w:p>
      <w:pPr>
        <w:numPr>
          <w:ilvl w:val="0"/>
          <w:numId w:val="5"/>
        </w:numPr>
        <w:bidi w:val="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应对方法</w:t>
      </w:r>
    </w:p>
    <w:p>
      <w:pPr>
        <w:numPr>
          <w:ilvl w:val="0"/>
          <w:numId w:val="6"/>
        </w:numPr>
        <w:bidi w:val="0"/>
        <w:ind w:left="420" w:leftChars="0" w:firstLine="0"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将之前建筑外立面的水刷石以及清水砖改换成</w:t>
      </w:r>
    </w:p>
    <w:p>
      <w:pPr>
        <w:numPr>
          <w:ilvl w:val="0"/>
          <w:numId w:val="6"/>
        </w:numPr>
        <w:bidi w:val="0"/>
        <w:ind w:left="420" w:leftChars="0" w:firstLine="0"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分析发现原建筑室内夹层通风和采光效果十分的不好，所以将夹层部分加以拆除，并且改变了开窗的一个形式。</w:t>
      </w:r>
    </w:p>
    <w:p>
      <w:pPr>
        <w:numPr>
          <w:ilvl w:val="0"/>
          <w:numId w:val="6"/>
        </w:numPr>
        <w:bidi w:val="0"/>
        <w:ind w:left="420" w:leftChars="0" w:firstLine="0"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1"/>
          <w:szCs w:val="21"/>
        </w:rPr>
        <w:t>考虑到基地所在环境气候，冬季主要为西北风，夏季主要为南风。要做到冬季挡风保温，夏季通风散热，本设计将建筑西北方向的体块设计为实体，起到挡风保温作用。而建筑的弧形设计也改善了人性区域风速过大的问题。</w:t>
      </w:r>
    </w:p>
    <w:p>
      <w:pPr>
        <w:numPr>
          <w:ilvl w:val="0"/>
          <w:numId w:val="6"/>
        </w:numPr>
        <w:bidi w:val="0"/>
        <w:ind w:left="420" w:leftChars="0" w:firstLine="0"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为了更好的利用自然资源，我们在建筑原本的基础上设计了雨水采集装置以及屋顶的光伏发电装置。</w:t>
      </w:r>
    </w:p>
    <w:p>
      <w:pPr>
        <w:numPr>
          <w:ilvl w:val="0"/>
          <w:numId w:val="6"/>
        </w:numPr>
        <w:bidi w:val="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通过声环境分析，基地</w:t>
      </w:r>
      <w:r>
        <w:rPr>
          <w:rFonts w:hint="eastAsia" w:asciiTheme="minorEastAsia" w:hAnsiTheme="minorEastAsia" w:eastAsiaTheme="minorEastAsia" w:cstheme="minorEastAsia"/>
          <w:lang w:val="en-US" w:eastAsia="zh-CN"/>
        </w:rPr>
        <w:t>东</w:t>
      </w:r>
      <w:r>
        <w:rPr>
          <w:rFonts w:hint="eastAsia" w:asciiTheme="minorEastAsia" w:hAnsiTheme="minorEastAsia" w:eastAsiaTheme="minorEastAsia" w:cstheme="minorEastAsia"/>
        </w:rPr>
        <w:t>边噪音较大，</w:t>
      </w:r>
      <w:r>
        <w:rPr>
          <w:rFonts w:hint="eastAsia" w:asciiTheme="minorEastAsia" w:hAnsiTheme="minorEastAsia" w:eastAsiaTheme="minorEastAsia" w:cstheme="minorEastAsia"/>
          <w:lang w:val="en-US" w:eastAsia="zh-CN"/>
        </w:rPr>
        <w:t>东边</w:t>
      </w:r>
      <w:r>
        <w:rPr>
          <w:rFonts w:hint="eastAsia" w:asciiTheme="minorEastAsia" w:hAnsiTheme="minorEastAsia" w:eastAsiaTheme="minorEastAsia" w:cstheme="minorEastAsia"/>
        </w:rPr>
        <w:t>建筑的外墙结构</w:t>
      </w:r>
      <w:r>
        <w:rPr>
          <w:rFonts w:hint="eastAsia" w:asciiTheme="minorEastAsia" w:hAnsiTheme="minorEastAsia" w:eastAsiaTheme="minorEastAsia" w:cstheme="minorEastAsia"/>
          <w:lang w:val="en-US" w:eastAsia="zh-CN"/>
        </w:rPr>
        <w:t>采用</w:t>
      </w:r>
      <w:r>
        <w:rPr>
          <w:rFonts w:hint="eastAsia" w:asciiTheme="minorEastAsia" w:hAnsiTheme="minorEastAsia" w:eastAsiaTheme="minorEastAsia" w:cstheme="minorEastAsia"/>
        </w:rPr>
        <w:t>隔声性能高的结构以及</w:t>
      </w:r>
      <w:r>
        <w:rPr>
          <w:rFonts w:hint="eastAsia" w:asciiTheme="minorEastAsia" w:hAnsiTheme="minorEastAsia" w:eastAsiaTheme="minorEastAsia" w:cstheme="minorEastAsia"/>
          <w:lang w:val="en-US" w:eastAsia="zh-CN"/>
        </w:rPr>
        <w:t>使用了双层的中空玻璃来减少噪音的影响</w:t>
      </w:r>
      <w:r>
        <w:rPr>
          <w:rFonts w:hint="eastAsia" w:asciiTheme="minorEastAsia" w:hAnsiTheme="minorEastAsia" w:eastAsiaTheme="minorEastAsia" w:cstheme="minorEastAsia"/>
        </w:rPr>
        <w:t>。</w:t>
      </w:r>
    </w:p>
    <w:p>
      <w:pPr>
        <w:numPr>
          <w:ilvl w:val="0"/>
          <w:numId w:val="6"/>
        </w:numPr>
        <w:bidi w:val="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通过改善日照通风，减少所需冷热耗能，并且增加绿化面积，美化环境的同时，减少碳排放，提高降碳率。</w:t>
      </w:r>
    </w:p>
    <w:p>
      <w:pPr>
        <w:numPr>
          <w:ilvl w:val="0"/>
          <w:numId w:val="6"/>
        </w:numPr>
        <w:bidi w:val="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原有旧建筑为框架结构加砖混结构,考虑南侧风景好且南侧遮风，故将其拆去部分,基地位置更靠北侧，结合北方传统民居四合院的形式给予加建，思考在后疫情时代的背景，将养老活动中心做到半开放的新式场所，所以在屋顶部分加入悬挑走廊。</w:t>
      </w:r>
    </w:p>
    <w:p>
      <w:pPr>
        <w:numPr>
          <w:ilvl w:val="0"/>
          <w:numId w:val="0"/>
        </w:numPr>
        <w:bidi w:val="0"/>
        <w:ind w:left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 xml:space="preserve">    </w:t>
      </w:r>
    </w:p>
    <w:p>
      <w:pPr>
        <w:bidi w:val="0"/>
        <w:rPr>
          <w:rFonts w:hint="default"/>
          <w:lang w:val="en-US" w:eastAsia="zh-CN"/>
        </w:rPr>
      </w:pPr>
    </w:p>
    <w:p>
      <w:pPr>
        <w:keepNext w:val="0"/>
        <w:keepLines w:val="0"/>
        <w:widowControl/>
        <w:numPr>
          <w:ilvl w:val="0"/>
          <w:numId w:val="0"/>
        </w:numPr>
        <w:suppressLineNumbers w:val="0"/>
        <w:ind w:leftChars="0" w:firstLine="420"/>
        <w:jc w:val="left"/>
        <w:rPr>
          <w:rFonts w:hint="eastAsia"/>
          <w:lang w:val="en-US" w:eastAsia="zh-CN"/>
        </w:rPr>
      </w:pPr>
    </w:p>
    <w:p>
      <w:pPr>
        <w:keepNext w:val="0"/>
        <w:keepLines w:val="0"/>
        <w:widowControl/>
        <w:numPr>
          <w:ilvl w:val="0"/>
          <w:numId w:val="0"/>
        </w:numPr>
        <w:suppressLineNumbers w:val="0"/>
        <w:ind w:leftChars="0" w:firstLine="420"/>
        <w:jc w:val="left"/>
        <w:rPr>
          <w:rFonts w:hint="eastAsia"/>
          <w:lang w:val="en-US" w:eastAsia="zh-CN"/>
        </w:rPr>
      </w:pPr>
    </w:p>
    <w:p>
      <w:pPr>
        <w:keepNext w:val="0"/>
        <w:keepLines w:val="0"/>
        <w:widowControl/>
        <w:numPr>
          <w:ilvl w:val="0"/>
          <w:numId w:val="0"/>
        </w:numPr>
        <w:suppressLineNumbers w:val="0"/>
        <w:ind w:leftChars="0" w:firstLine="420"/>
        <w:jc w:val="left"/>
        <w:rPr>
          <w:rFonts w:hint="default"/>
          <w:lang w:val="en-US" w:eastAsia="zh-CN"/>
        </w:rPr>
      </w:pPr>
      <w:r>
        <w:rPr>
          <w:rFonts w:hint="eastAsia"/>
          <w:lang w:val="en-US" w:eastAsia="zh-CN"/>
        </w:rPr>
        <w:t xml:space="preserve">  </w:t>
      </w:r>
    </w:p>
    <w:p>
      <w:pPr>
        <w:keepNext w:val="0"/>
        <w:keepLines w:val="0"/>
        <w:widowControl/>
        <w:numPr>
          <w:ilvl w:val="0"/>
          <w:numId w:val="0"/>
        </w:numPr>
        <w:suppressLineNumbers w:val="0"/>
        <w:ind w:leftChars="0" w:firstLine="420"/>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3E3229"/>
    <w:multiLevelType w:val="singleLevel"/>
    <w:tmpl w:val="BC3E3229"/>
    <w:lvl w:ilvl="0" w:tentative="0">
      <w:start w:val="2"/>
      <w:numFmt w:val="chineseCounting"/>
      <w:suff w:val="nothing"/>
      <w:lvlText w:val="%1．"/>
      <w:lvlJc w:val="left"/>
      <w:rPr>
        <w:rFonts w:hint="eastAsia"/>
      </w:rPr>
    </w:lvl>
  </w:abstractNum>
  <w:abstractNum w:abstractNumId="1">
    <w:nsid w:val="E19FC844"/>
    <w:multiLevelType w:val="singleLevel"/>
    <w:tmpl w:val="E19FC844"/>
    <w:lvl w:ilvl="0" w:tentative="0">
      <w:start w:val="1"/>
      <w:numFmt w:val="decimal"/>
      <w:lvlText w:val="(%1)"/>
      <w:lvlJc w:val="left"/>
      <w:pPr>
        <w:tabs>
          <w:tab w:val="left" w:pos="312"/>
        </w:tabs>
        <w:ind w:left="420" w:leftChars="0" w:firstLine="0" w:firstLineChars="0"/>
      </w:pPr>
    </w:lvl>
  </w:abstractNum>
  <w:abstractNum w:abstractNumId="2">
    <w:nsid w:val="3B4991B7"/>
    <w:multiLevelType w:val="singleLevel"/>
    <w:tmpl w:val="3B4991B7"/>
    <w:lvl w:ilvl="0" w:tentative="0">
      <w:start w:val="1"/>
      <w:numFmt w:val="decimal"/>
      <w:suff w:val="space"/>
      <w:lvlText w:val="%1."/>
      <w:lvlJc w:val="left"/>
    </w:lvl>
  </w:abstractNum>
  <w:abstractNum w:abstractNumId="3">
    <w:nsid w:val="55F7D7DF"/>
    <w:multiLevelType w:val="singleLevel"/>
    <w:tmpl w:val="55F7D7DF"/>
    <w:lvl w:ilvl="0" w:tentative="0">
      <w:start w:val="1"/>
      <w:numFmt w:val="chineseCounting"/>
      <w:lvlText w:val="%1."/>
      <w:lvlJc w:val="left"/>
      <w:pPr>
        <w:tabs>
          <w:tab w:val="left" w:pos="312"/>
        </w:tabs>
      </w:pPr>
      <w:rPr>
        <w:rFonts w:hint="eastAsia"/>
      </w:rPr>
    </w:lvl>
  </w:abstractNum>
  <w:abstractNum w:abstractNumId="4">
    <w:nsid w:val="65FD615F"/>
    <w:multiLevelType w:val="singleLevel"/>
    <w:tmpl w:val="65FD615F"/>
    <w:lvl w:ilvl="0" w:tentative="0">
      <w:start w:val="1"/>
      <w:numFmt w:val="decimal"/>
      <w:lvlText w:val="(%1)"/>
      <w:lvlJc w:val="left"/>
      <w:pPr>
        <w:tabs>
          <w:tab w:val="left" w:pos="312"/>
        </w:tabs>
        <w:ind w:left="420" w:leftChars="0" w:firstLine="0" w:firstLineChars="0"/>
      </w:pPr>
    </w:lvl>
  </w:abstractNum>
  <w:abstractNum w:abstractNumId="5">
    <w:nsid w:val="6D1CC628"/>
    <w:multiLevelType w:val="singleLevel"/>
    <w:tmpl w:val="6D1CC628"/>
    <w:lvl w:ilvl="0" w:tentative="0">
      <w:start w:val="2"/>
      <w:numFmt w:val="decimal"/>
      <w:lvlText w:val="%1."/>
      <w:lvlJc w:val="left"/>
      <w:pPr>
        <w:tabs>
          <w:tab w:val="left" w:pos="312"/>
        </w:tabs>
      </w:p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jYjkxNWZiZmJmZDQ3N2UyNmE2ZDFmNTc0ZjZhMGEifQ=="/>
  </w:docVars>
  <w:rsids>
    <w:rsidRoot w:val="01EA6A71"/>
    <w:rsid w:val="01EA6A71"/>
    <w:rsid w:val="03FF04C4"/>
    <w:rsid w:val="13D030DC"/>
    <w:rsid w:val="1753478E"/>
    <w:rsid w:val="18EA783A"/>
    <w:rsid w:val="1EB25FAB"/>
    <w:rsid w:val="24CA42F6"/>
    <w:rsid w:val="2BB439EC"/>
    <w:rsid w:val="38AA7947"/>
    <w:rsid w:val="3901513F"/>
    <w:rsid w:val="39930E3E"/>
    <w:rsid w:val="44FC58CF"/>
    <w:rsid w:val="4A5C7ECC"/>
    <w:rsid w:val="65D320D3"/>
    <w:rsid w:val="67C13B18"/>
    <w:rsid w:val="68295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rPr>
      <w:rFonts w:ascii="Times New Roman" w:hAnsi="Times New Roman" w:eastAsia="宋体"/>
    </w:rPr>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1743</Words>
  <Characters>1781</Characters>
  <Lines>0</Lines>
  <Paragraphs>0</Paragraphs>
  <TotalTime>1</TotalTime>
  <ScaleCrop>false</ScaleCrop>
  <LinksUpToDate>false</LinksUpToDate>
  <CharactersWithSpaces>1796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2023-01-02T13:49:00Z</dcterms:created>
  <dc:creator>对不起，打扰你了</dc:creator>
  <cp:lastModifiedBy>南苑</cp:lastModifiedBy>
  <dcterms:modified xsi:type="dcterms:W3CDTF">2023-01-03T15:26:16Z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C3225ED42CAD4FA79FDAD3E6202DEB06</vt:lpwstr>
  </property>
</Properties>
</file>