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480"/>
      </w:pPr>
      <w:bookmarkStart w:id="0" w:name="_Hlk66241124"/>
      <w:bookmarkEnd w:id="0"/>
      <w:r>
        <w:fldChar w:fldCharType="begin">
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</w:fldChar>
      </w:r>
      <w:r>
        <w:instrText xml:space="preserve">ADDIN CNKISM.UserStyle</w:instrText>
      </w:r>
      <w:r>
        <w:fldChar w:fldCharType="end"/>
      </w:r>
    </w:p>
    <w:p>
      <w:pPr>
        <w:ind w:firstLine="0" w:firstLineChars="0"/>
        <w:rPr>
          <w:rFonts w:ascii="黑体" w:hAnsi="黑体" w:eastAsia="黑体"/>
          <w:b/>
          <w:sz w:val="44"/>
          <w:szCs w:val="44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17" w:right="1417" w:bottom="1417" w:left="1701" w:header="851" w:footer="992" w:gutter="0"/>
          <w:cols w:space="0" w:num="1"/>
          <w:docGrid w:type="lines" w:linePitch="312" w:charSpace="0"/>
        </w:sect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3131185</wp:posOffset>
                </wp:positionV>
                <wp:extent cx="5549900" cy="2088515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0" cy="2088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firstLine="0" w:firstLineChars="0"/>
                              <w:jc w:val="center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sz w:val="52"/>
                                <w:szCs w:val="52"/>
                                <w:lang w:val="en-US" w:eastAsia="zh-CN"/>
                              </w:rPr>
                              <w:t>方源·青绿</w:t>
                            </w:r>
                          </w:p>
                          <w:p>
                            <w:pPr>
                              <w:ind w:firstLine="0" w:firstLineChars="0"/>
                              <w:jc w:val="center"/>
                              <w:rPr>
                                <w:rFonts w:hint="default" w:ascii="黑体" w:hAnsi="黑体" w:eastAsia="黑体" w:cs="黑体"/>
                                <w:b/>
                                <w:bCs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sz w:val="44"/>
                                <w:szCs w:val="44"/>
                                <w:lang w:val="en-US" w:eastAsia="zh-CN"/>
                              </w:rPr>
                              <w:t>后疫情时代下的绿色活力SOHO设计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246.55pt;height:164.45pt;width:437pt;z-index:251660288;mso-width-relative:page;mso-height-relative:page;" filled="f" stroked="f" coordsize="21600,21600" o:gfxdata="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FEY6IjXAAAACgEAAA8AAAAA&#10;AAAAAQAgAAAAIgAAAGRycy9kb3ducmV2LnhtbFBLAQIUABQAAAAIAIdO4kA9BczTFQIAABYEAAAO&#10;AAAAAAAAAAEAIAAAACYBAABkcnMvZTJvRG9jLnhtbFBLBQYAAAAABgAGAFkBAACt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ind w:firstLine="0" w:firstLineChars="0"/>
                        <w:jc w:val="center"/>
                        <w:rPr>
                          <w:rFonts w:hint="eastAsia" w:ascii="黑体" w:hAnsi="黑体" w:eastAsia="黑体" w:cs="黑体"/>
                          <w:b/>
                          <w:bCs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sz w:val="52"/>
                          <w:szCs w:val="52"/>
                          <w:lang w:val="en-US" w:eastAsia="zh-CN"/>
                        </w:rPr>
                        <w:t>方源·青绿</w:t>
                      </w:r>
                    </w:p>
                    <w:p>
                      <w:pPr>
                        <w:ind w:firstLine="0" w:firstLineChars="0"/>
                        <w:jc w:val="center"/>
                        <w:rPr>
                          <w:rFonts w:hint="default" w:ascii="黑体" w:hAnsi="黑体" w:eastAsia="黑体" w:cs="黑体"/>
                          <w:b/>
                          <w:bCs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sz w:val="44"/>
                          <w:szCs w:val="44"/>
                          <w:lang w:val="en-US" w:eastAsia="zh-CN"/>
                        </w:rPr>
                        <w:t>后疫情时代下的绿色活力SOHO设计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161290</wp:posOffset>
                </wp:positionH>
                <wp:positionV relativeFrom="paragraph">
                  <wp:posOffset>1771015</wp:posOffset>
                </wp:positionV>
                <wp:extent cx="5238115" cy="914400"/>
                <wp:effectExtent l="3175" t="0" r="0" b="381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1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firstLine="0" w:firstLineChars="0"/>
                              <w:jc w:val="center"/>
                              <w:rPr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hint="eastAsia" w:eastAsia="黑体"/>
                                <w:b/>
                                <w:sz w:val="96"/>
                                <w:szCs w:val="32"/>
                              </w:rPr>
                              <w:t>建筑设计说明书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7pt;margin-top:139.45pt;height:72pt;width:412.45pt;z-index:251659264;mso-width-relative:page;mso-height-relative:page;" filled="f" stroked="f" coordsize="21600,21600" o:gfxdata="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Ki0aCNgAAAAKAQAADwAA&#10;AAAAAAABACAAAAAiAAAAZHJzL2Rvd25yZXYueG1sUEsBAhQAFAAAAAgAh07iQAs1p7wWAgAAFQQA&#10;AA4AAAAAAAAAAQAgAAAAJwEAAGRycy9lMm9Eb2MueG1sUEsFBgAAAAAGAAYAWQEAAK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ind w:firstLine="0" w:firstLineChars="0"/>
                        <w:jc w:val="center"/>
                        <w:rPr>
                          <w:sz w:val="36"/>
                          <w:szCs w:val="32"/>
                        </w:rPr>
                      </w:pPr>
                      <w:r>
                        <w:rPr>
                          <w:rFonts w:hint="eastAsia" w:eastAsia="黑体"/>
                          <w:b/>
                          <w:sz w:val="96"/>
                          <w:szCs w:val="32"/>
                        </w:rPr>
                        <w:t>建筑设计说明书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spacing w:before="156" w:after="156"/>
      </w:pPr>
      <w:r>
        <w:rPr>
          <w:rFonts w:hint="eastAsia"/>
        </w:rPr>
        <w:t>第1章 工程概况</w:t>
      </w:r>
    </w:p>
    <w:p>
      <w:pPr>
        <w:pStyle w:val="3"/>
        <w:spacing w:before="156" w:after="156"/>
      </w:pPr>
      <w:r>
        <w:rPr>
          <w:rFonts w:hint="eastAsia"/>
        </w:rPr>
        <w:t>1</w:t>
      </w:r>
      <w:r>
        <w:t>.1</w:t>
      </w:r>
      <w:r>
        <w:rPr>
          <w:rFonts w:hint="eastAsia"/>
        </w:rPr>
        <w:t>工程概况</w:t>
      </w:r>
    </w:p>
    <w:p>
      <w:pPr>
        <w:ind w:firstLine="480"/>
      </w:pPr>
      <w:r>
        <w:rPr>
          <w:rFonts w:hint="eastAsia"/>
        </w:rPr>
        <w:t>1、</w:t>
      </w:r>
      <w:r>
        <w:t>工程名称</w:t>
      </w:r>
      <w:r>
        <w:rPr>
          <w:rFonts w:hint="eastAsia"/>
        </w:rPr>
        <w:t>：</w:t>
      </w:r>
      <w:r>
        <w:rPr>
          <w:rFonts w:hint="eastAsia"/>
          <w:lang w:val="en-US" w:eastAsia="zh-CN"/>
        </w:rPr>
        <w:t>方源·青绿——后疫情时代下的绿色活力SOHO设计</w:t>
      </w:r>
      <w:r>
        <w:rPr>
          <w:rFonts w:hint="eastAsia"/>
        </w:rPr>
        <w:t>。</w:t>
      </w:r>
    </w:p>
    <w:p>
      <w:pPr>
        <w:ind w:firstLine="480"/>
        <w:rPr>
          <w:rFonts w:hint="eastAsia"/>
        </w:rPr>
      </w:pPr>
      <w:r>
        <w:t>2</w:t>
      </w:r>
      <w:r>
        <w:rPr>
          <w:rFonts w:hint="eastAsia"/>
        </w:rPr>
        <w:t>、建设场地：本工程位于本次项目整体位于成都市成华区八里庄文化</w:t>
      </w:r>
    </w:p>
    <w:p>
      <w:pPr>
        <w:ind w:firstLine="480"/>
      </w:pPr>
      <w:r>
        <w:rPr>
          <w:rFonts w:hint="eastAsia"/>
        </w:rPr>
        <w:t>创意发展区二仙桥西片区地块范围内。</w:t>
      </w:r>
    </w:p>
    <w:p>
      <w:pPr>
        <w:ind w:firstLine="480"/>
        <w:rPr>
          <w:rFonts w:hint="default"/>
          <w:lang w:val="en-US"/>
        </w:rPr>
      </w:pPr>
      <w:r>
        <w:t>3</w:t>
      </w:r>
      <w:r>
        <w:rPr>
          <w:rFonts w:hint="eastAsia"/>
        </w:rPr>
        <w:t>、建设规模：本工程用地范围</w:t>
      </w:r>
      <w:r>
        <w:rPr>
          <w:rFonts w:hint="eastAsia"/>
          <w:lang w:val="en-US" w:eastAsia="zh-CN"/>
        </w:rPr>
        <w:t>15991</w:t>
      </w:r>
      <w:r>
        <w:rPr>
          <w:rFonts w:hint="eastAsia"/>
        </w:rPr>
        <w:t>㎡，</w:t>
      </w:r>
      <w:r>
        <w:rPr>
          <w:rFonts w:hint="eastAsia"/>
          <w:lang w:val="en-US" w:eastAsia="zh-CN"/>
        </w:rPr>
        <w:t>娱乐</w:t>
      </w:r>
      <w:r>
        <w:rPr>
          <w:rFonts w:hint="eastAsia"/>
        </w:rPr>
        <w:t>基地面积基地面积</w:t>
      </w:r>
      <w:r>
        <w:rPr>
          <w:rFonts w:hint="eastAsia"/>
          <w:lang w:val="en-US" w:eastAsia="zh-CN"/>
        </w:rPr>
        <w:t>897</w:t>
      </w:r>
      <w:r>
        <w:rPr>
          <w:rFonts w:hint="eastAsia"/>
        </w:rPr>
        <w:t>㎡，建筑层高地上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层，</w:t>
      </w:r>
      <w:r>
        <w:rPr>
          <w:rFonts w:hint="eastAsia"/>
          <w:lang w:val="en-US" w:eastAsia="zh-CN"/>
        </w:rPr>
        <w:t>建筑高度8.7m；转换区基地面积895㎡，</w:t>
      </w:r>
      <w:r>
        <w:rPr>
          <w:rFonts w:hint="eastAsia"/>
        </w:rPr>
        <w:t>建筑层高地上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层，</w:t>
      </w:r>
      <w:r>
        <w:rPr>
          <w:rFonts w:hint="eastAsia"/>
          <w:lang w:val="en-US" w:eastAsia="zh-CN"/>
        </w:rPr>
        <w:t>建筑高度14.7m；医疗基地面积798㎡，</w:t>
      </w:r>
      <w:r>
        <w:rPr>
          <w:rFonts w:hint="eastAsia"/>
        </w:rPr>
        <w:t>建筑层高地上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层，</w:t>
      </w:r>
      <w:r>
        <w:rPr>
          <w:rFonts w:hint="eastAsia"/>
          <w:lang w:val="en-US" w:eastAsia="zh-CN"/>
        </w:rPr>
        <w:t>建筑高度8.7m；工作基地面积346㎡，</w:t>
      </w:r>
      <w:r>
        <w:rPr>
          <w:rFonts w:hint="eastAsia"/>
        </w:rPr>
        <w:t>建筑层高地上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层，</w:t>
      </w:r>
      <w:r>
        <w:rPr>
          <w:rFonts w:hint="eastAsia"/>
          <w:lang w:val="en-US" w:eastAsia="zh-CN"/>
        </w:rPr>
        <w:t>建筑高度20.7m；居住区基地面积407.5㎡，</w:t>
      </w:r>
      <w:r>
        <w:rPr>
          <w:rFonts w:hint="eastAsia"/>
        </w:rPr>
        <w:t>建筑层高地上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层，</w:t>
      </w:r>
      <w:r>
        <w:rPr>
          <w:rFonts w:hint="eastAsia"/>
          <w:lang w:val="en-US" w:eastAsia="zh-CN"/>
        </w:rPr>
        <w:t>建筑高度17.7m。建筑基底总面积为3343.5㎡。</w:t>
      </w:r>
    </w:p>
    <w:p>
      <w:pPr>
        <w:ind w:firstLine="480"/>
      </w:pPr>
      <w:r>
        <w:t>4</w:t>
      </w:r>
      <w:r>
        <w:rPr>
          <w:rFonts w:hint="eastAsia"/>
        </w:rPr>
        <w:t>、民用建筑工程设计等级：三级。</w:t>
      </w:r>
    </w:p>
    <w:p>
      <w:pPr>
        <w:ind w:firstLine="480"/>
      </w:pPr>
      <w:r>
        <w:rPr>
          <w:rFonts w:hint="eastAsia"/>
        </w:rPr>
        <w:t>5、建筑结构：</w:t>
      </w:r>
      <w:r>
        <w:rPr>
          <w:rFonts w:hint="eastAsia"/>
          <w:lang w:val="en-US" w:eastAsia="zh-CN"/>
        </w:rPr>
        <w:t>除居住以外装配式框架屈曲约束支撑结构</w:t>
      </w:r>
      <w:r>
        <w:rPr>
          <w:rFonts w:hint="eastAsia"/>
          <w:lang w:eastAsia="zh-CN"/>
        </w:rPr>
        <w:t>；</w:t>
      </w:r>
      <w:r>
        <w:rPr>
          <w:rFonts w:hint="eastAsia"/>
          <w:lang w:val="en-US" w:eastAsia="zh-CN"/>
        </w:rPr>
        <w:t>住宅剪力墙结构</w:t>
      </w:r>
      <w:r>
        <w:rPr>
          <w:rFonts w:hint="eastAsia"/>
        </w:rPr>
        <w:t>。</w:t>
      </w:r>
    </w:p>
    <w:p>
      <w:pPr>
        <w:ind w:firstLine="480"/>
      </w:pPr>
      <w:r>
        <w:rPr>
          <w:rFonts w:hint="eastAsia"/>
        </w:rPr>
        <w:t>6、设计使用年限：5</w:t>
      </w:r>
      <w:r>
        <w:t>0</w:t>
      </w:r>
      <w:r>
        <w:rPr>
          <w:rFonts w:hint="eastAsia"/>
        </w:rPr>
        <w:t>年。</w:t>
      </w:r>
    </w:p>
    <w:p>
      <w:pPr>
        <w:ind w:firstLine="480"/>
      </w:pPr>
      <w:r>
        <w:rPr>
          <w:rFonts w:hint="eastAsia"/>
        </w:rPr>
        <w:t>7、抗震设防：抗震设防类别丙类，抗震设防烈度为7度。</w:t>
      </w:r>
    </w:p>
    <w:p>
      <w:pPr>
        <w:ind w:firstLine="480"/>
      </w:pPr>
      <w:r>
        <w:rPr>
          <w:rFonts w:hint="eastAsia"/>
        </w:rPr>
        <w:t>8、屋面防水等级：Ⅱ级。</w:t>
      </w:r>
    </w:p>
    <w:p>
      <w:pPr>
        <w:ind w:firstLine="480"/>
        <w:rPr>
          <w:rFonts w:hint="eastAsia"/>
        </w:rPr>
      </w:pPr>
      <w:r>
        <w:rPr>
          <w:rFonts w:hint="eastAsia"/>
        </w:rPr>
        <w:t>9、防火设计：办公楼耐火等级为二级。</w:t>
      </w:r>
    </w:p>
    <w:p>
      <w:pPr>
        <w:pStyle w:val="3"/>
        <w:spacing w:before="156" w:after="156"/>
      </w:pPr>
      <w:r>
        <w:rPr>
          <w:rFonts w:hint="eastAsia"/>
        </w:rPr>
        <w:t>1</w:t>
      </w:r>
      <w:r>
        <w:t>.2</w:t>
      </w:r>
      <w:r>
        <w:rPr>
          <w:rFonts w:hint="eastAsia"/>
        </w:rPr>
        <w:t>施工条件</w:t>
      </w:r>
    </w:p>
    <w:p>
      <w:pPr>
        <w:ind w:firstLine="480"/>
      </w:pPr>
      <w:r>
        <w:t>1</w:t>
      </w:r>
      <w:r>
        <w:rPr>
          <w:rFonts w:hint="eastAsia"/>
        </w:rPr>
        <w:t>、建设场地平坦，道路通畅，水、电就近可以接通，基本具备开工建设条件。</w:t>
      </w:r>
    </w:p>
    <w:p>
      <w:pPr>
        <w:ind w:firstLine="480"/>
      </w:pPr>
      <w:r>
        <w:rPr>
          <w:rFonts w:hint="eastAsia"/>
        </w:rPr>
        <w:t>2、拟参与投标的施工单位技术力量和机械水平均较高。</w:t>
      </w:r>
    </w:p>
    <w:p>
      <w:pPr>
        <w:pStyle w:val="2"/>
        <w:spacing w:before="156" w:after="156"/>
        <w:rPr>
          <w:rFonts w:hint="eastAsia"/>
        </w:rPr>
      </w:pPr>
      <w:r>
        <w:rPr>
          <w:rFonts w:hint="eastAsia"/>
        </w:rPr>
        <w:t>第2章 建筑设计说明</w:t>
      </w:r>
    </w:p>
    <w:p>
      <w:pPr>
        <w:pStyle w:val="3"/>
        <w:spacing w:before="156" w:after="156"/>
        <w:rPr>
          <w:rFonts w:hint="eastAsia"/>
        </w:rPr>
      </w:pPr>
      <w:r>
        <w:rPr>
          <w:rFonts w:hint="eastAsia"/>
        </w:rPr>
        <w:t>2</w:t>
      </w:r>
      <w:r>
        <w:t>.1</w:t>
      </w:r>
      <w:r>
        <w:rPr>
          <w:rFonts w:hint="eastAsia"/>
        </w:rPr>
        <w:t>建筑设计依据</w:t>
      </w:r>
    </w:p>
    <w:p>
      <w:pPr>
        <w:ind w:firstLine="480"/>
      </w:pPr>
      <w:r>
        <w:rPr>
          <w:rFonts w:hint="eastAsia"/>
        </w:rPr>
        <w:t>现行国家有关建筑设计规范、规程和规定：</w:t>
      </w:r>
    </w:p>
    <w:p>
      <w:pPr>
        <w:ind w:firstLine="480"/>
      </w:pPr>
      <w:r>
        <w:rPr>
          <w:rFonts w:hint="eastAsia"/>
        </w:rPr>
        <w:t>《建筑设计采光设计标准》</w:t>
      </w:r>
      <w:r>
        <w:t>GB 50033-2013</w:t>
      </w:r>
      <w:r>
        <w:rPr>
          <w:rFonts w:hint="eastAsia"/>
        </w:rPr>
        <w:t>；</w:t>
      </w:r>
    </w:p>
    <w:p>
      <w:pPr>
        <w:ind w:firstLine="480"/>
      </w:pPr>
      <w:r>
        <w:rPr>
          <w:rFonts w:hint="eastAsia"/>
        </w:rPr>
        <w:t>《建筑玻璃应用技术规程》</w:t>
      </w:r>
      <w:r>
        <w:t>JGJ 113-2015</w:t>
      </w:r>
      <w:r>
        <w:rPr>
          <w:rFonts w:hint="eastAsia"/>
        </w:rPr>
        <w:t>；</w:t>
      </w:r>
    </w:p>
    <w:p>
      <w:pPr>
        <w:ind w:firstLine="480"/>
      </w:pPr>
      <w:r>
        <w:rPr>
          <w:rFonts w:hint="eastAsia"/>
        </w:rPr>
        <w:t>《民用建筑设计通则》</w:t>
      </w:r>
      <w:r>
        <w:t>GB 50352-2005</w:t>
      </w:r>
      <w:r>
        <w:rPr>
          <w:rFonts w:hint="eastAsia"/>
        </w:rPr>
        <w:t>；</w:t>
      </w:r>
    </w:p>
    <w:p>
      <w:pPr>
        <w:ind w:firstLine="480"/>
      </w:pPr>
      <w:r>
        <w:rPr>
          <w:rFonts w:hint="eastAsia"/>
        </w:rPr>
        <w:t>《工程建设标准强制性条文（</w:t>
      </w:r>
      <w:r>
        <w:t>2013</w:t>
      </w:r>
      <w:r>
        <w:rPr>
          <w:rFonts w:hint="eastAsia"/>
        </w:rPr>
        <w:t>版）－房屋建筑部分》；</w:t>
      </w:r>
    </w:p>
    <w:p>
      <w:pPr>
        <w:ind w:firstLine="480"/>
      </w:pPr>
      <w:r>
        <w:rPr>
          <w:rFonts w:hint="eastAsia"/>
        </w:rPr>
        <w:t>《建筑设计防火规范》</w:t>
      </w:r>
      <w:r>
        <w:t xml:space="preserve">GB </w:t>
      </w:r>
      <w:r>
        <w:rPr>
          <w:rFonts w:hint="eastAsia"/>
        </w:rPr>
        <w:t>50016-2014(2018年版）；</w:t>
      </w:r>
    </w:p>
    <w:p>
      <w:pPr>
        <w:ind w:firstLine="480"/>
      </w:pPr>
      <w:r>
        <w:rPr>
          <w:rFonts w:hint="eastAsia"/>
        </w:rPr>
        <w:t>《屋面工程技术规范》</w:t>
      </w:r>
      <w:r>
        <w:t>GB 50345-2012</w:t>
      </w:r>
      <w:r>
        <w:rPr>
          <w:rFonts w:hint="eastAsia"/>
        </w:rPr>
        <w:t>；</w:t>
      </w:r>
    </w:p>
    <w:p>
      <w:pPr>
        <w:ind w:firstLine="480"/>
      </w:pPr>
      <w:r>
        <w:rPr>
          <w:rFonts w:hint="eastAsia"/>
        </w:rPr>
        <w:t>《建筑工程设计文件编制深度规定》（</w:t>
      </w:r>
      <w:r>
        <w:t>2016</w:t>
      </w:r>
      <w:r>
        <w:rPr>
          <w:rFonts w:hint="eastAsia"/>
        </w:rPr>
        <w:t>版）；</w:t>
      </w:r>
    </w:p>
    <w:p>
      <w:pPr>
        <w:ind w:firstLine="480"/>
      </w:pPr>
      <w:r>
        <w:rPr>
          <w:rFonts w:hint="eastAsia"/>
        </w:rPr>
        <w:t>《压型金属板工程应用技术规范》</w:t>
      </w:r>
      <w:r>
        <w:t>GB 50896-2013</w:t>
      </w:r>
      <w:r>
        <w:rPr>
          <w:rFonts w:hint="eastAsia"/>
        </w:rPr>
        <w:t>；</w:t>
      </w:r>
    </w:p>
    <w:p>
      <w:pPr>
        <w:ind w:firstLine="480"/>
      </w:pPr>
      <w:r>
        <w:rPr>
          <w:rFonts w:hint="eastAsia"/>
        </w:rPr>
        <w:t>《公共建筑节能设计标准》GB 50189-2015；</w:t>
      </w:r>
    </w:p>
    <w:p>
      <w:pPr>
        <w:ind w:firstLine="480"/>
      </w:pPr>
      <w:r>
        <w:rPr>
          <w:rFonts w:hint="eastAsia"/>
        </w:rPr>
        <w:t>《民用建筑热工设计规范》GB 50176；</w:t>
      </w:r>
    </w:p>
    <w:p>
      <w:pPr>
        <w:ind w:firstLine="480"/>
        <w:rPr>
          <w:rFonts w:hint="eastAsia"/>
        </w:rPr>
      </w:pPr>
      <w:r>
        <w:rPr>
          <w:rFonts w:hint="eastAsia"/>
        </w:rPr>
        <w:t>《建筑幕墙》GB/T 21086-2007。</w:t>
      </w:r>
    </w:p>
    <w:p>
      <w:pPr>
        <w:ind w:firstLine="480"/>
        <w:rPr>
          <w:rFonts w:hint="eastAsia"/>
        </w:rPr>
      </w:pPr>
    </w:p>
    <w:p>
      <w:pPr>
        <w:ind w:firstLine="480"/>
      </w:pPr>
      <w:r>
        <w:rPr>
          <w:rFonts w:hint="eastAsia"/>
        </w:rPr>
        <w:t>建筑设计依据标准：</w:t>
      </w:r>
    </w:p>
    <w:p>
      <w:pPr>
        <w:ind w:firstLine="480"/>
      </w:pPr>
      <w:r>
        <w:rPr>
          <w:rFonts w:hint="eastAsia"/>
        </w:rPr>
        <w:t>（1）满足人体尺度和人体活动所需要的空间尺度；</w:t>
      </w:r>
    </w:p>
    <w:p>
      <w:pPr>
        <w:ind w:firstLine="480"/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）家具、设备的尺寸和使用它们的必要空间；</w:t>
      </w:r>
    </w:p>
    <w:p>
      <w:pPr>
        <w:ind w:firstLine="480"/>
      </w:pPr>
      <w:r>
        <w:rPr>
          <w:rFonts w:hint="eastAsia"/>
        </w:rPr>
        <w:t>（3）温度、湿度、日照、雨雪、风向、风速等气候条件；</w:t>
      </w:r>
    </w:p>
    <w:p>
      <w:pPr>
        <w:ind w:firstLine="480"/>
      </w:pPr>
      <w:r>
        <w:rPr>
          <w:rFonts w:hint="eastAsia"/>
        </w:rPr>
        <w:t>（4）地形、地质条件和地震烈度；</w:t>
      </w:r>
    </w:p>
    <w:p>
      <w:pPr>
        <w:ind w:firstLine="480"/>
        <w:rPr>
          <w:rFonts w:hint="eastAsia"/>
        </w:rPr>
      </w:pPr>
      <w:r>
        <w:rPr>
          <w:rFonts w:hint="eastAsia"/>
        </w:rPr>
        <w:t>（5）建筑模数和模数制。</w:t>
      </w:r>
    </w:p>
    <w:p>
      <w:pPr>
        <w:pStyle w:val="3"/>
        <w:spacing w:before="156" w:after="156"/>
        <w:rPr>
          <w:rFonts w:hint="default" w:eastAsia="黑体"/>
          <w:lang w:val="en-US" w:eastAsia="zh-CN"/>
        </w:rPr>
      </w:pPr>
      <w:r>
        <w:rPr>
          <w:rFonts w:hint="eastAsia"/>
        </w:rPr>
        <w:t>2</w:t>
      </w:r>
      <w:r>
        <w:t>.2</w:t>
      </w:r>
      <w:r>
        <w:rPr>
          <w:rFonts w:hint="eastAsia"/>
          <w:lang w:val="en-US" w:eastAsia="zh-CN"/>
        </w:rPr>
        <w:t>基地现状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80" w:firstLineChars="200"/>
        <w:jc w:val="left"/>
        <w:textAlignment w:val="auto"/>
        <w:rPr>
          <w:rFonts w:hint="eastAsia" w:eastAsia="宋体"/>
          <w:lang w:eastAsia="zh-CN"/>
        </w:rPr>
      </w:pPr>
      <w:r>
        <w:rPr>
          <w:rFonts w:hint="eastAsia"/>
        </w:rPr>
        <w:t>本次项目整体位于中环路二仙桥西路段至中环路八里庄路段,成都市成华区八里庄文化创意发展区二仙桥西片区地块范围内。基地西侧是地铁七号线,东侧为在建的二二仙桥公园和废弃的铁轨，工业气息浓厚。</w:t>
      </w:r>
    </w:p>
    <w:p>
      <w:pPr>
        <w:numPr>
          <w:ilvl w:val="0"/>
          <w:numId w:val="0"/>
        </w:numPr>
        <w:ind w:leftChars="0"/>
        <w:jc w:val="center"/>
        <w:rPr>
          <w:rFonts w:hint="eastAsia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109210" cy="1249680"/>
            <wp:effectExtent l="0" t="0" r="0" b="0"/>
            <wp:docPr id="9" name="图片 9" descr="区位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区位分析"/>
                    <pic:cNvPicPr>
                      <a:picLocks noChangeAspect="1"/>
                    </pic:cNvPicPr>
                  </pic:nvPicPr>
                  <pic:blipFill>
                    <a:blip r:embed="rId12"/>
                    <a:srcRect l="1951" t="16041" r="1156" b="27986"/>
                    <a:stretch>
                      <a:fillRect/>
                    </a:stretch>
                  </pic:blipFill>
                  <pic:spPr>
                    <a:xfrm>
                      <a:off x="0" y="0"/>
                      <a:ext cx="510921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>
      <w:pPr>
        <w:ind w:firstLine="48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建筑现状：</w:t>
      </w:r>
      <w:r>
        <w:rPr>
          <w:rFonts w:hint="default"/>
          <w:lang w:val="en-US" w:eastAsia="zh-CN"/>
        </w:rPr>
        <w:t>建筑目前有仓库8个,四层红砖宿舍楼2栋4层冻库1栋,均保存完整。连片红砖建筑左右呈中轴对称,屋顶造型独特,回廊宽缓伸展,建筑立面马头墙处理方式提箱建筑形态美感，有檐部、墙身、勒脚“三段式”结构,为苏式建筑。</w:t>
      </w:r>
    </w:p>
    <w:p>
      <w:pPr>
        <w:ind w:firstLine="48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环境现状：</w:t>
      </w:r>
      <w:r>
        <w:rPr>
          <w:rFonts w:hint="default"/>
          <w:lang w:val="en-US" w:eastAsia="zh-CN"/>
        </w:rPr>
        <w:t>基地建筑完好，环境整洁,背面有在建的二仙公园,环境优美。</w:t>
      </w:r>
    </w:p>
    <w:p>
      <w:pPr>
        <w:ind w:firstLine="48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交通现状：</w:t>
      </w:r>
      <w:r>
        <w:rPr>
          <w:rFonts w:hint="default"/>
          <w:lang w:val="en-US" w:eastAsia="zh-CN"/>
        </w:rPr>
        <w:t>基地位于中环路二仙桥西路段外侧，地铁7号线东侧，二仙桥街道办事处辖区内。</w:t>
      </w:r>
    </w:p>
    <w:p>
      <w:pPr>
        <w:ind w:firstLine="48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周边人群：多为低收入城市人群以及进城务工的暂居人群。</w:t>
      </w:r>
    </w:p>
    <w:p>
      <w:pPr>
        <w:pStyle w:val="3"/>
        <w:spacing w:before="156" w:after="156"/>
        <w:rPr>
          <w:rFonts w:hint="default" w:eastAsia="黑体"/>
          <w:lang w:val="en-US" w:eastAsia="zh-CN"/>
        </w:rPr>
      </w:pPr>
      <w:r>
        <w:rPr>
          <w:rFonts w:hint="eastAsia"/>
        </w:rPr>
        <w:t>2</w:t>
      </w:r>
      <w:r>
        <w:t>.3</w:t>
      </w:r>
      <w:r>
        <w:rPr>
          <w:rFonts w:hint="eastAsia"/>
          <w:lang w:val="en-US" w:eastAsia="zh-CN"/>
        </w:rPr>
        <w:t>人群需求</w:t>
      </w:r>
    </w:p>
    <w:p>
      <w:pPr>
        <w:ind w:firstLine="480"/>
        <w:rPr>
          <w:rFonts w:hint="eastAsia"/>
          <w:lang w:val="en-US" w:eastAsia="zh-CN"/>
        </w:rPr>
      </w:pPr>
      <w:r>
        <w:rPr>
          <w:rFonts w:hint="eastAsia"/>
        </w:rPr>
        <w:t>在</w:t>
      </w:r>
      <w:r>
        <w:rPr>
          <w:rFonts w:hint="eastAsia"/>
          <w:lang w:val="en-US" w:eastAsia="zh-CN"/>
        </w:rPr>
        <w:t>基地人群组成主要有：</w:t>
      </w:r>
    </w:p>
    <w:p>
      <w:pPr>
        <w:ind w:firstLine="48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1、周边居民区或其他地区的休闲娱乐消费人群。</w:t>
      </w:r>
    </w:p>
    <w:p>
      <w:pPr>
        <w:ind w:firstLine="48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2、打算在成都驻地办公的企业客户群。</w:t>
      </w:r>
    </w:p>
    <w:p>
      <w:pPr>
        <w:ind w:firstLine="480"/>
        <w:rPr>
          <w:rFonts w:hint="eastAsia" w:eastAsia="宋体"/>
          <w:lang w:eastAsia="zh-CN"/>
        </w:rPr>
      </w:pPr>
      <w:r>
        <w:rPr>
          <w:rFonts w:hint="eastAsia"/>
          <w:lang w:val="en-US" w:eastAsia="zh-CN"/>
        </w:rPr>
        <w:t>3、对本项目的发展具有信心的投资者。</w:t>
      </w:r>
    </w:p>
    <w:p>
      <w:pPr>
        <w:ind w:firstLine="480"/>
        <w:rPr>
          <w:rFonts w:hint="default"/>
          <w:lang w:val="en-US"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570730" cy="2439035"/>
            <wp:effectExtent l="0" t="0" r="0" b="0"/>
            <wp:docPr id="17" name="图片 17" descr="问题提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问题提出"/>
                    <pic:cNvPicPr>
                      <a:picLocks noChangeAspect="1"/>
                    </pic:cNvPicPr>
                  </pic:nvPicPr>
                  <pic:blipFill>
                    <a:blip r:embed="rId13"/>
                    <a:srcRect l="991" t="12329" r="1317" b="2806"/>
                    <a:stretch>
                      <a:fillRect/>
                    </a:stretch>
                  </pic:blipFill>
                  <pic:spPr>
                    <a:xfrm>
                      <a:off x="0" y="0"/>
                      <a:ext cx="4570730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56" w:after="156"/>
        <w:rPr>
          <w:rFonts w:hint="eastAsia"/>
          <w:lang w:val="en-US" w:eastAsia="zh-CN"/>
        </w:rPr>
      </w:pPr>
      <w:r>
        <w:rPr>
          <w:rFonts w:hint="eastAsia"/>
        </w:rPr>
        <w:t>2</w:t>
      </w:r>
      <w:r>
        <w:t>.4</w:t>
      </w:r>
      <w:r>
        <w:rPr>
          <w:rFonts w:hint="eastAsia"/>
          <w:lang w:val="en-US" w:eastAsia="zh-CN"/>
        </w:rPr>
        <w:t>设计策略</w:t>
      </w:r>
    </w:p>
    <w:p>
      <w:pPr>
        <w:jc w:val="left"/>
      </w:pPr>
      <w:r>
        <w:rPr>
          <w:rFonts w:hint="eastAsia"/>
          <w:lang w:val="en-US" w:eastAsia="zh-CN"/>
        </w:rPr>
        <w:t>从社区问题入手，解决规划问题和建筑问题，利用文化植入、绿色技能打造特色公园社区。</w:t>
      </w:r>
      <w:r>
        <w:rPr>
          <w:rFonts w:hint="default"/>
          <w:lang w:val="en-US" w:eastAsia="zh-CN"/>
        </w:rPr>
        <w:drawing>
          <wp:inline distT="0" distB="0" distL="114300" distR="114300">
            <wp:extent cx="4879340" cy="2322195"/>
            <wp:effectExtent l="0" t="0" r="12700" b="9525"/>
            <wp:docPr id="18" name="图片 18" descr="设计策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设计策略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79340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由于场地是位于成都市成华区八里庄文化创意发展区，有较为浓厚的地域文化，本次设计为了呼应周围环境，局部区域采用了红砖墙的形式。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同时这次的SOHO设计考虑到后疫情的背景，融入了绿色、健康的理念。在设计和技术上我们都结合了此次设计的理念。在设计上，外部屋顶层层退台,营建”屋顶花园“和”运动花园”同时我们考虑到后疫情的背景，设计了可转化空间，在平时正常使用时为活动区域，如有高烧人群该空间可转化为高烧人群修养区。同时考虑到后疫情最重要的就是提高自身免疫力，所以在园区内部设置了跑道，屋顶球场等区域供园区内部人员使用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3040" cy="1511935"/>
            <wp:effectExtent l="0" t="0" r="0" b="0"/>
            <wp:docPr id="19" name="图片 19" descr="F%XM_YV1(X~I9LF%TF9$DH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F%XM_YV1(X~I9LF%TF9$DH7"/>
                    <pic:cNvPicPr>
                      <a:picLocks noChangeAspect="1"/>
                    </pic:cNvPicPr>
                  </pic:nvPicPr>
                  <pic:blipFill>
                    <a:blip r:embed="rId15"/>
                    <a:srcRect b="5078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技术上为了结合绿色的理念,我们采用了许多新型技术，如地道风降温系统、屋顶绿化、双层立面、光诱导照明系统、气象跟踪技术自控玻璃等。同时还采用了底部架空以及竖向天井的设计手法,提高建筑本身的绿色性能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3040" cy="1541145"/>
            <wp:effectExtent l="0" t="0" r="0" b="0"/>
            <wp:docPr id="20" name="图片 20" descr="F%XM_YV1(X~I9LF%TF9$DH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F%XM_YV1(X~I9LF%TF9$DH7"/>
                    <pic:cNvPicPr>
                      <a:picLocks noChangeAspect="1"/>
                    </pic:cNvPicPr>
                  </pic:nvPicPr>
                  <pic:blipFill>
                    <a:blip r:embed="rId15"/>
                    <a:srcRect t="4983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56" w:after="156"/>
      </w:pPr>
      <w:r>
        <w:rPr>
          <w:rFonts w:hint="eastAsia"/>
        </w:rPr>
        <w:t>2</w:t>
      </w:r>
      <w:r>
        <w:t>.5</w:t>
      </w:r>
      <w:r>
        <w:rPr>
          <w:rFonts w:hint="eastAsia"/>
        </w:rPr>
        <w:t>绿色建筑设计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成都属于亚热带季风气候，具有春早、夏热、秋凉、冬暖的气候特点，年平均气温16℃，年降雨量1000毫米左右。多云雾，日照时间短。 根据季节调整通风和散热方式。基地日照条件较弱，注意采光。充分回收利用雨水资源。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选择措施：1、雨水回收  2、中水系统  3、采光天井 4、光导管 5、太阳能光伏系统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成都市属中亚热带湿润季风气候区，成都市常年最多风向是静风；次多风向：6、7、8月为北风，其余各月为东北偏北风。冬季应该注意立面保暖防护。夏季需要通风，庭院散热效果良好。同时考虑生态及环境的影响，尽量不破坏场地原有微气候。</w:t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选择措施：1、底层架空 2、中庭绿化 3、太阳能光伏系统 4、双层玻璃垂直绿化5、屋顶花园6、退台设计7、A泡沫铝复合保温墙、地板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0975" cy="1583055"/>
            <wp:effectExtent l="0" t="0" r="0" b="0"/>
            <wp:docPr id="3" name="图片 3" descr="剖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剖面"/>
                    <pic:cNvPicPr>
                      <a:picLocks noChangeAspect="1"/>
                    </pic:cNvPicPr>
                  </pic:nvPicPr>
                  <pic:blipFill>
                    <a:blip r:embed="rId16"/>
                    <a:srcRect t="7872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3679190" cy="5230495"/>
            <wp:effectExtent l="0" t="0" r="8890" b="12065"/>
            <wp:docPr id="4" name="图片 4" descr="爆炸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爆炸图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79190" cy="523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tabs>
        <w:tab w:val="clear" w:pos="4153"/>
      </w:tabs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D1193F"/>
    <w:multiLevelType w:val="singleLevel"/>
    <w:tmpl w:val="1DD1193F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Q4MWFiNzQwZTc4OWQzYjYxYTlmNDBhMWE4N2YzYjkifQ=="/>
    <w:docVar w:name="KSO_WPS_MARK_KEY" w:val="b41dbdb4-0186-4fac-976c-4bacc20b070b"/>
  </w:docVars>
  <w:rsids>
    <w:rsidRoot w:val="00E40056"/>
    <w:rsid w:val="0006272E"/>
    <w:rsid w:val="000F7581"/>
    <w:rsid w:val="001151CF"/>
    <w:rsid w:val="0013244B"/>
    <w:rsid w:val="00187935"/>
    <w:rsid w:val="00190B7C"/>
    <w:rsid w:val="0025076D"/>
    <w:rsid w:val="002F3208"/>
    <w:rsid w:val="003106E0"/>
    <w:rsid w:val="00353C73"/>
    <w:rsid w:val="0042145D"/>
    <w:rsid w:val="00493623"/>
    <w:rsid w:val="004B593F"/>
    <w:rsid w:val="006257FB"/>
    <w:rsid w:val="00631176"/>
    <w:rsid w:val="006338AC"/>
    <w:rsid w:val="006B23D4"/>
    <w:rsid w:val="006D5097"/>
    <w:rsid w:val="007D5645"/>
    <w:rsid w:val="007F7753"/>
    <w:rsid w:val="0081311C"/>
    <w:rsid w:val="00825C73"/>
    <w:rsid w:val="00890077"/>
    <w:rsid w:val="00917627"/>
    <w:rsid w:val="00A40169"/>
    <w:rsid w:val="00B02BFC"/>
    <w:rsid w:val="00B038B8"/>
    <w:rsid w:val="00B87B8F"/>
    <w:rsid w:val="00BA74A4"/>
    <w:rsid w:val="00BC3A66"/>
    <w:rsid w:val="00C9274B"/>
    <w:rsid w:val="00CA40C6"/>
    <w:rsid w:val="00CA6AC6"/>
    <w:rsid w:val="00CC491A"/>
    <w:rsid w:val="00D71566"/>
    <w:rsid w:val="00D8591F"/>
    <w:rsid w:val="00DE6836"/>
    <w:rsid w:val="00E40056"/>
    <w:rsid w:val="00EE416A"/>
    <w:rsid w:val="05993010"/>
    <w:rsid w:val="06A46153"/>
    <w:rsid w:val="10CC1BD4"/>
    <w:rsid w:val="210A6190"/>
    <w:rsid w:val="27FC550B"/>
    <w:rsid w:val="283A5E1B"/>
    <w:rsid w:val="2AA46267"/>
    <w:rsid w:val="319677F1"/>
    <w:rsid w:val="36DD389C"/>
    <w:rsid w:val="421609E4"/>
    <w:rsid w:val="5BF0551F"/>
    <w:rsid w:val="5F1F40D2"/>
    <w:rsid w:val="6E9A6951"/>
    <w:rsid w:val="6F653AEC"/>
    <w:rsid w:val="79194BBB"/>
    <w:rsid w:val="7A0643B5"/>
    <w:rsid w:val="7E803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</w:pPr>
    <w:rPr>
      <w:rFonts w:ascii="Calibri" w:hAnsi="Calibri" w:eastAsia="宋体" w:cs="Times New Roman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50" w:beforeLines="50" w:after="50" w:afterLines="50" w:line="578" w:lineRule="auto"/>
      <w:ind w:firstLine="0" w:firstLineChars="0"/>
      <w:jc w:val="center"/>
      <w:outlineLvl w:val="0"/>
    </w:pPr>
    <w:rPr>
      <w:rFonts w:eastAsia="黑体"/>
      <w:bCs/>
      <w:kern w:val="44"/>
      <w:sz w:val="36"/>
      <w:szCs w:val="44"/>
    </w:rPr>
  </w:style>
  <w:style w:type="paragraph" w:styleId="3">
    <w:name w:val="heading 2"/>
    <w:basedOn w:val="1"/>
    <w:next w:val="1"/>
    <w:link w:val="15"/>
    <w:unhideWhenUsed/>
    <w:qFormat/>
    <w:uiPriority w:val="9"/>
    <w:pPr>
      <w:keepNext/>
      <w:keepLines/>
      <w:spacing w:before="50" w:beforeLines="50" w:after="50" w:afterLines="50" w:line="415" w:lineRule="auto"/>
      <w:ind w:firstLine="0" w:firstLineChars="0"/>
      <w:outlineLvl w:val="1"/>
    </w:pPr>
    <w:rPr>
      <w:rFonts w:eastAsia="黑体" w:asciiTheme="majorHAnsi" w:hAnsiTheme="majorHAnsi" w:cstheme="majorBidi"/>
      <w:bCs/>
      <w:sz w:val="30"/>
      <w:szCs w:val="32"/>
    </w:rPr>
  </w:style>
  <w:style w:type="paragraph" w:styleId="4">
    <w:name w:val="heading 3"/>
    <w:basedOn w:val="1"/>
    <w:next w:val="1"/>
    <w:link w:val="17"/>
    <w:unhideWhenUsed/>
    <w:qFormat/>
    <w:uiPriority w:val="9"/>
    <w:pPr>
      <w:keepNext/>
      <w:keepLines/>
      <w:spacing w:before="260" w:after="260" w:line="415" w:lineRule="auto"/>
      <w:ind w:firstLine="0" w:firstLineChars="0"/>
      <w:outlineLvl w:val="2"/>
    </w:pPr>
    <w:rPr>
      <w:rFonts w:eastAsia="黑体"/>
      <w:bCs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3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6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spacing w:line="240" w:lineRule="auto"/>
      <w:ind w:firstLine="0" w:firstLineChars="0"/>
    </w:pPr>
    <w:rPr>
      <w:rFonts w:ascii="Times New Roman" w:hAnsi="Times New Roman"/>
      <w:sz w:val="18"/>
      <w:szCs w:val="20"/>
    </w:rPr>
  </w:style>
  <w:style w:type="paragraph" w:styleId="7">
    <w:name w:val="header"/>
    <w:basedOn w:val="1"/>
    <w:link w:val="12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ind w:firstLine="0" w:firstLineChars="0"/>
    </w:pPr>
    <w:rPr>
      <w:rFonts w:ascii="Times New Roman" w:hAnsi="Times New Roman"/>
      <w:sz w:val="18"/>
      <w:szCs w:val="20"/>
    </w:rPr>
  </w:style>
  <w:style w:type="paragraph" w:styleId="8">
    <w:name w:val="Title"/>
    <w:basedOn w:val="1"/>
    <w:next w:val="1"/>
    <w:link w:val="16"/>
    <w:qFormat/>
    <w:uiPriority w:val="10"/>
    <w:pPr>
      <w:spacing w:before="50" w:beforeLines="50" w:after="50" w:afterLines="50"/>
      <w:ind w:firstLine="0" w:firstLineChars="0"/>
      <w:outlineLvl w:val="0"/>
    </w:pPr>
    <w:rPr>
      <w:rFonts w:eastAsia="黑体" w:asciiTheme="majorHAnsi" w:hAnsiTheme="majorHAnsi" w:cstheme="majorBidi"/>
      <w:bCs/>
      <w:szCs w:val="32"/>
    </w:rPr>
  </w:style>
  <w:style w:type="character" w:customStyle="1" w:styleId="11">
    <w:name w:val="页脚 字符"/>
    <w:basedOn w:val="10"/>
    <w:link w:val="6"/>
    <w:qFormat/>
    <w:uiPriority w:val="0"/>
    <w:rPr>
      <w:rFonts w:ascii="Times New Roman" w:hAnsi="Times New Roman" w:eastAsia="宋体" w:cs="Times New Roman"/>
      <w:sz w:val="18"/>
      <w:szCs w:val="20"/>
    </w:rPr>
  </w:style>
  <w:style w:type="character" w:customStyle="1" w:styleId="12">
    <w:name w:val="页眉 字符"/>
    <w:basedOn w:val="10"/>
    <w:link w:val="7"/>
    <w:qFormat/>
    <w:uiPriority w:val="0"/>
    <w:rPr>
      <w:rFonts w:ascii="Times New Roman" w:hAnsi="Times New Roman" w:eastAsia="宋体" w:cs="Times New Roman"/>
      <w:sz w:val="18"/>
      <w:szCs w:val="20"/>
    </w:rPr>
  </w:style>
  <w:style w:type="character" w:customStyle="1" w:styleId="13">
    <w:name w:val="批注框文本 字符"/>
    <w:basedOn w:val="10"/>
    <w:link w:val="5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4">
    <w:name w:val="标题 1 字符"/>
    <w:basedOn w:val="10"/>
    <w:link w:val="2"/>
    <w:qFormat/>
    <w:uiPriority w:val="9"/>
    <w:rPr>
      <w:rFonts w:ascii="Calibri" w:hAnsi="Calibri" w:eastAsia="黑体" w:cs="Times New Roman"/>
      <w:bCs/>
      <w:kern w:val="44"/>
      <w:sz w:val="36"/>
      <w:szCs w:val="44"/>
    </w:rPr>
  </w:style>
  <w:style w:type="character" w:customStyle="1" w:styleId="15">
    <w:name w:val="标题 2 字符"/>
    <w:basedOn w:val="10"/>
    <w:link w:val="3"/>
    <w:qFormat/>
    <w:uiPriority w:val="9"/>
    <w:rPr>
      <w:rFonts w:eastAsia="黑体" w:asciiTheme="majorHAnsi" w:hAnsiTheme="majorHAnsi" w:cstheme="majorBidi"/>
      <w:bCs/>
      <w:sz w:val="30"/>
      <w:szCs w:val="32"/>
    </w:rPr>
  </w:style>
  <w:style w:type="character" w:customStyle="1" w:styleId="16">
    <w:name w:val="标题 字符"/>
    <w:basedOn w:val="10"/>
    <w:link w:val="8"/>
    <w:qFormat/>
    <w:uiPriority w:val="10"/>
    <w:rPr>
      <w:rFonts w:eastAsia="黑体" w:asciiTheme="majorHAnsi" w:hAnsiTheme="majorHAnsi" w:cstheme="majorBidi"/>
      <w:bCs/>
      <w:sz w:val="24"/>
      <w:szCs w:val="32"/>
    </w:rPr>
  </w:style>
  <w:style w:type="character" w:customStyle="1" w:styleId="17">
    <w:name w:val="标题 3 字符"/>
    <w:basedOn w:val="10"/>
    <w:link w:val="4"/>
    <w:qFormat/>
    <w:uiPriority w:val="9"/>
    <w:rPr>
      <w:rFonts w:ascii="Calibri" w:hAnsi="Calibri" w:eastAsia="黑体" w:cs="Times New Roman"/>
      <w:bCs/>
      <w:sz w:val="24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6.jpeg"/><Relationship Id="rId16" Type="http://schemas.openxmlformats.org/officeDocument/2006/relationships/image" Target="media/image5.jpeg"/><Relationship Id="rId15" Type="http://schemas.openxmlformats.org/officeDocument/2006/relationships/image" Target="media/image4.png"/><Relationship Id="rId14" Type="http://schemas.openxmlformats.org/officeDocument/2006/relationships/image" Target="media/image3.jpeg"/><Relationship Id="rId13" Type="http://schemas.openxmlformats.org/officeDocument/2006/relationships/image" Target="media/image2.jpeg"/><Relationship Id="rId12" Type="http://schemas.openxmlformats.org/officeDocument/2006/relationships/image" Target="media/image1.jpe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1833</Words>
  <Characters>1994</Characters>
  <Lines>10</Lines>
  <Paragraphs>3</Paragraphs>
  <TotalTime>3</TotalTime>
  <ScaleCrop>false</ScaleCrop>
  <LinksUpToDate>false</LinksUpToDate>
  <CharactersWithSpaces>2015</CharactersWithSpaces>
  <Application>WPS Office_11.1.0.12970_F1E327BC-269C-435d-A152-05C5408002CA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2020-03-03T07:51:00Z</dcterms:created>
  <dc:creator>DELL</dc:creator>
  <cp:lastModifiedBy>言若</cp:lastModifiedBy>
  <dcterms:modified xsi:type="dcterms:W3CDTF">2023-01-01T02:11:41Z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2052-11.1.0.12970</vt:lpwstr>
  </property>
  <property fmtid="{D5CDD505-2E9C-101B-9397-08002B2CF9AE}" pid="3" name="ICV">
    <vt:lpwstr>515D995CD65141CDBA5850F6490C6796</vt:lpwstr>
  </property>
</Properties>
</file>