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spacing w:before="312" w:beforeLines="100" w:line="180" w:lineRule="atLeast"/>
        <w:rPr>
          <w:rFonts w:ascii="黑体" w:hAnsi="宋体" w:eastAsia="黑体"/>
          <w:b/>
          <w:bCs/>
          <w:sz w:val="72"/>
          <w:szCs w:val="72"/>
        </w:rPr>
      </w:pPr>
      <w:r>
        <w:rPr>
          <w:rFonts w:hint="eastAsia" w:ascii="黑体" w:hAnsi="宋体" w:eastAsia="黑体"/>
          <w:b/>
          <w:bCs/>
          <w:sz w:val="72"/>
          <w:szCs w:val="72"/>
        </w:rPr>
        <w:t>建筑采光分析报告书</w:t>
      </w:r>
    </w:p>
    <w:p>
      <w:pPr>
        <w:spacing w:before="312" w:beforeLines="100" w:line="180" w:lineRule="atLeast"/>
        <w:rPr>
          <w:rFonts w:ascii="黑体" w:hAnsi="宋体" w:eastAsia="黑体"/>
          <w:b/>
          <w:bCs/>
          <w:sz w:val="36"/>
          <w:szCs w:val="36"/>
        </w:rPr>
      </w:pPr>
      <w:r>
        <w:rPr>
          <w:rFonts w:hint="eastAsia" w:ascii="黑体" w:hAnsi="宋体" w:eastAsia="黑体"/>
          <w:b/>
          <w:bCs/>
          <w:sz w:val="36"/>
          <w:szCs w:val="36"/>
        </w:rPr>
        <w:t>（公建内区采光）</w:t>
      </w:r>
    </w:p>
    <w:p>
      <w:pPr>
        <w:spacing w:line="180" w:lineRule="atLeast"/>
        <w:rPr>
          <w:rFonts w:ascii="宋体" w:hAnsi="宋体"/>
          <w:b/>
          <w:bCs/>
          <w:lang w:val="en-US"/>
        </w:rPr>
      </w:pPr>
    </w:p>
    <w:p>
      <w:pPr>
        <w:spacing w:line="180" w:lineRule="atLeast"/>
        <w:rPr>
          <w:rFonts w:ascii="宋体" w:hAnsi="宋体"/>
          <w:b/>
          <w:bCs/>
          <w:lang w:val="en-US"/>
        </w:rPr>
      </w:pPr>
    </w:p>
    <w:p>
      <w:pPr>
        <w:spacing w:line="180" w:lineRule="atLeast"/>
        <w:rPr>
          <w:rFonts w:ascii="宋体" w:hAnsi="宋体"/>
          <w:b/>
          <w:bCs/>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ind w:firstLine="0" w:firstLineChars="0"/>
            </w:pPr>
            <w:r>
              <w:rPr>
                <w:rFonts w:hint="eastAsia"/>
              </w:rPr>
              <w:t>工程名称</w:t>
            </w:r>
          </w:p>
        </w:tc>
        <w:tc>
          <w:tcPr>
            <w:tcW w:w="3780" w:type="dxa"/>
          </w:tcPr>
          <w:p>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设计编号</w:t>
            </w:r>
          </w:p>
        </w:tc>
        <w:tc>
          <w:tcPr>
            <w:tcW w:w="3780" w:type="dxa"/>
          </w:tcPr>
          <w:p>
            <w:bookmarkStart w:id="1" w:name="设计编号"/>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建设单位</w:t>
            </w:r>
          </w:p>
        </w:tc>
        <w:tc>
          <w:tcPr>
            <w:tcW w:w="3780" w:type="dxa"/>
          </w:tcPr>
          <w:p>
            <w:bookmarkStart w:id="2" w:name="建设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设计单位</w:t>
            </w:r>
          </w:p>
        </w:tc>
        <w:tc>
          <w:tcPr>
            <w:tcW w:w="3780" w:type="dxa"/>
          </w:tcPr>
          <w:p>
            <w:bookmarkStart w:id="3" w:name="设计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核 人</w:t>
            </w:r>
          </w:p>
        </w:tc>
        <w:tc>
          <w:tcPr>
            <w:tcW w:w="3780" w:type="dxa"/>
          </w:tcPr>
          <w:p>
            <w:bookmarkStart w:id="4" w:name="审核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ind w:firstLine="0" w:firstLineChars="0"/>
            </w:pPr>
            <w:r>
              <w:rPr>
                <w:rFonts w:hint="eastAsia"/>
              </w:rPr>
              <w:t>审 定 人</w:t>
            </w:r>
          </w:p>
        </w:tc>
        <w:tc>
          <w:tcPr>
            <w:tcW w:w="3780" w:type="dxa"/>
          </w:tcPr>
          <w:p>
            <w:bookmarkStart w:id="5" w:name="审定人"/>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ind w:firstLine="0" w:firstLineChars="0"/>
            </w:pPr>
            <w:r>
              <w:rPr>
                <w:rFonts w:hint="eastAsia"/>
              </w:rPr>
              <w:t>计算日期</w:t>
            </w:r>
          </w:p>
        </w:tc>
        <w:tc>
          <w:tcPr>
            <w:tcW w:w="3780" w:type="dxa"/>
          </w:tcPr>
          <w:p>
            <w:bookmarkStart w:id="6" w:name="计算日期"/>
            <w:r>
              <w:t>2023年1月2日</w:t>
            </w:r>
            <w:bookmarkEnd w:id="6"/>
          </w:p>
        </w:tc>
      </w:tr>
    </w:tbl>
    <w:p>
      <w:pPr>
        <w:rPr>
          <w:rFonts w:ascii="黑体" w:hAnsi="黑体" w:eastAsia="黑体"/>
          <w:bCs/>
          <w:sz w:val="28"/>
          <w:szCs w:val="28"/>
        </w:rPr>
      </w:pPr>
    </w:p>
    <w:p>
      <w:pPr>
        <w:rPr>
          <w:rFonts w:ascii="黑体" w:hAnsi="黑体" w:eastAsia="黑体"/>
          <w:b/>
          <w:bCs/>
          <w:sz w:val="30"/>
          <w:szCs w:val="32"/>
        </w:rPr>
      </w:pPr>
      <w:bookmarkStart w:id="7" w:name="二维码"/>
      <w:bookmarkEnd w:id="7"/>
      <w:r>
        <w:rPr>
          <w:lang w:val="en-US"/>
        </w:rPr>
        <w:drawing>
          <wp:inline distT="0" distB="0" distL="0" distR="0">
            <wp:extent cx="2019300" cy="201930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7"/>
                    <a:stretch>
                      <a:fillRect/>
                    </a:stretch>
                  </pic:blipFill>
                  <pic:spPr>
                    <a:xfrm>
                      <a:off x="0" y="0"/>
                      <a:ext cx="2019512" cy="2019512"/>
                    </a:xfrm>
                    <a:prstGeom prst="rect">
                      <a:avLst/>
                    </a:prstGeom>
                  </pic:spPr>
                </pic:pic>
              </a:graphicData>
            </a:graphic>
          </wp:inline>
        </w:drawing>
      </w:r>
    </w:p>
    <w:p>
      <w:pPr>
        <w:rPr>
          <w:rFonts w:ascii="黑体" w:hAnsi="黑体" w:eastAsia="黑体"/>
          <w:b/>
          <w:bCs/>
          <w:sz w:val="30"/>
          <w:szCs w:val="32"/>
        </w:rPr>
      </w:pPr>
    </w:p>
    <w:p>
      <w:pPr>
        <w:rPr>
          <w:rFonts w:ascii="黑体" w:hAnsi="黑体" w:eastAsia="黑体"/>
          <w:bCs/>
          <w:sz w:val="28"/>
          <w:szCs w:val="28"/>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pPr>
            <w:r>
              <w:rPr>
                <w:rFonts w:hint="eastAsia"/>
              </w:rPr>
              <w:t>采用软件</w:t>
            </w:r>
          </w:p>
        </w:tc>
        <w:tc>
          <w:tcPr>
            <w:tcW w:w="3780" w:type="dxa"/>
            <w:shd w:val="clear" w:color="auto" w:fill="auto"/>
            <w:vAlign w:val="center"/>
          </w:tcPr>
          <w:p>
            <w:bookmarkStart w:id="8" w:name="采用软件"/>
            <w:r>
              <w:rPr>
                <w:rFonts w:hint="eastAsia"/>
              </w:rPr>
              <w:t>采光分析DALI2022</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软件版本</w:t>
            </w:r>
          </w:p>
        </w:tc>
        <w:tc>
          <w:tcPr>
            <w:tcW w:w="3780" w:type="dxa"/>
            <w:vAlign w:val="center"/>
          </w:tcPr>
          <w:p>
            <w:pPr>
              <w:rPr>
                <w:szCs w:val="18"/>
              </w:rPr>
            </w:pPr>
            <w:bookmarkStart w:id="9" w:name="软件版本"/>
            <w:r>
              <w:rPr>
                <w:szCs w:val="18"/>
              </w:rPr>
              <w:t>20210404</w:t>
            </w:r>
            <w:bookmarkEnd w:id="9"/>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3"/>
              <w:ind w:firstLine="0" w:firstLineChars="0"/>
              <w:jc w:val="both"/>
              <w:rPr>
                <w:szCs w:val="18"/>
              </w:rPr>
            </w:pPr>
            <w:r>
              <w:rPr>
                <w:rFonts w:hint="eastAsia"/>
                <w:szCs w:val="18"/>
              </w:rPr>
              <w:t>研发单位</w:t>
            </w:r>
          </w:p>
        </w:tc>
        <w:tc>
          <w:tcPr>
            <w:tcW w:w="3780" w:type="dxa"/>
            <w:vAlign w:val="center"/>
          </w:tcPr>
          <w:p>
            <w:pPr>
              <w:rPr>
                <w:szCs w:val="18"/>
              </w:rPr>
            </w:pPr>
            <w:bookmarkStart w:id="10" w:name="研发单位"/>
            <w:r>
              <w:rPr>
                <w:rFonts w:hint="eastAsia"/>
                <w:szCs w:val="18"/>
              </w:rPr>
              <w:t>北京绿建软件股份有限公司</w:t>
            </w:r>
            <w:bookmarkEnd w:id="1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pStyle w:val="3"/>
              <w:ind w:firstLine="0" w:firstLineChars="0"/>
              <w:jc w:val="both"/>
              <w:rPr>
                <w:szCs w:val="18"/>
              </w:rPr>
            </w:pPr>
            <w:r>
              <w:rPr>
                <w:rFonts w:hint="eastAsia"/>
                <w:szCs w:val="18"/>
              </w:rPr>
              <w:t>正版授权码</w:t>
            </w:r>
          </w:p>
        </w:tc>
        <w:tc>
          <w:tcPr>
            <w:tcW w:w="3780" w:type="dxa"/>
            <w:shd w:val="clear" w:color="auto" w:fill="auto"/>
            <w:vAlign w:val="center"/>
          </w:tcPr>
          <w:p>
            <w:pPr>
              <w:rPr>
                <w:szCs w:val="18"/>
              </w:rPr>
            </w:pPr>
            <w:bookmarkStart w:id="11" w:name="正版授权码"/>
            <w:r>
              <w:t>T18056198568</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pStyle w:val="3"/>
              <w:ind w:firstLine="0" w:firstLineChars="0"/>
              <w:jc w:val="both"/>
              <w:rPr>
                <w:szCs w:val="18"/>
              </w:rPr>
            </w:pPr>
            <w:r>
              <w:rPr>
                <w:rFonts w:hint="eastAsia"/>
                <w:szCs w:val="18"/>
              </w:rPr>
              <w:t>服务热线</w:t>
            </w:r>
          </w:p>
        </w:tc>
        <w:tc>
          <w:tcPr>
            <w:tcW w:w="3780" w:type="dxa"/>
            <w:shd w:val="clear" w:color="auto" w:fill="auto"/>
            <w:vAlign w:val="center"/>
          </w:tcPr>
          <w:p>
            <w:pPr>
              <w:rPr>
                <w:szCs w:val="18"/>
              </w:rPr>
            </w:pPr>
            <w:r>
              <w:rPr>
                <w:rFonts w:hint="eastAsia"/>
                <w:szCs w:val="18"/>
              </w:rPr>
              <w:t>400-094-1228</w:t>
            </w:r>
          </w:p>
        </w:tc>
      </w:tr>
    </w:tbl>
    <w:p>
      <w:pPr>
        <w:pStyle w:val="2"/>
        <w:numPr>
          <w:ilvl w:val="0"/>
          <w:numId w:val="0"/>
        </w:numPr>
      </w:pPr>
    </w:p>
    <w:p>
      <w:pPr>
        <w:pStyle w:val="3"/>
        <w:ind w:firstLine="420"/>
        <w:rPr>
          <w:lang w:val="en-US"/>
        </w:rPr>
      </w:pPr>
    </w:p>
    <w:p>
      <w:pPr>
        <w:pStyle w:val="3"/>
        <w:ind w:firstLine="420"/>
        <w:rPr>
          <w:lang w:val="en-US"/>
        </w:rPr>
      </w:pPr>
    </w:p>
    <w:p>
      <w:pPr>
        <w:pStyle w:val="3"/>
        <w:ind w:firstLine="420"/>
        <w:rPr>
          <w:lang w:val="en-US"/>
        </w:rPr>
      </w:pPr>
    </w:p>
    <w:p>
      <w:pPr>
        <w:pStyle w:val="3"/>
        <w:ind w:firstLine="420"/>
        <w:rPr>
          <w:lang w:val="en-US"/>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pPr>
        <w:pStyle w:val="2"/>
      </w:pPr>
      <w:r>
        <w:rPr>
          <w:rFonts w:hint="eastAsia"/>
        </w:rPr>
        <w:t>建筑概况</w:t>
      </w:r>
    </w:p>
    <w:tbl>
      <w:tblPr>
        <w:tblStyle w:val="22"/>
        <w:tblpPr w:leftFromText="180" w:rightFromText="180" w:vertAnchor="text" w:horzAnchor="margin" w:tblpY="233"/>
        <w:tblW w:w="4885" w:type="pct"/>
        <w:tblInd w:w="12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lang w:val="en-US"/>
              </w:rPr>
              <w:t>项目所在地</w:t>
            </w:r>
          </w:p>
        </w:tc>
        <w:tc>
          <w:tcPr>
            <w:tcW w:w="6447" w:type="dxa"/>
            <w:gridSpan w:val="3"/>
            <w:noWrap w:val="0"/>
            <w:vAlign w:val="center"/>
          </w:tcPr>
          <w:p>
            <w:pPr>
              <w:pStyle w:val="3"/>
              <w:rPr>
                <w:rFonts w:ascii="宋体" w:hAnsi="宋体"/>
                <w:sz w:val="18"/>
                <w:szCs w:val="18"/>
                <w:lang w:val="en-US"/>
              </w:rPr>
            </w:pPr>
            <w:r>
              <w:t>长沙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rFonts w:hint="eastAsia"/>
                <w:lang w:val="en-US"/>
              </w:rPr>
              <w:t>光气候分区</w:t>
            </w:r>
          </w:p>
        </w:tc>
        <w:tc>
          <w:tcPr>
            <w:tcW w:w="2624" w:type="dxa"/>
            <w:shd w:val="clear" w:color="auto" w:fill="auto"/>
            <w:noWrap w:val="0"/>
            <w:vAlign w:val="center"/>
          </w:tcPr>
          <w:p>
            <w:pPr>
              <w:pStyle w:val="3"/>
              <w:rPr>
                <w:rFonts w:ascii="宋体" w:hAnsi="宋体"/>
                <w:sz w:val="18"/>
                <w:szCs w:val="18"/>
                <w:lang w:val="en-US"/>
              </w:rPr>
            </w:pPr>
            <w:r>
              <w:t>IV</w:t>
            </w:r>
          </w:p>
        </w:tc>
        <w:tc>
          <w:tcPr>
            <w:tcW w:w="1757" w:type="dxa"/>
            <w:shd w:val="clear" w:color="auto" w:fill="E0E0E0"/>
            <w:noWrap w:val="0"/>
            <w:vAlign w:val="center"/>
          </w:tcPr>
          <w:p>
            <w:pPr>
              <w:pStyle w:val="3"/>
              <w:spacing w:line="360" w:lineRule="exact"/>
              <w:jc w:val="center"/>
              <w:rPr>
                <w:rFonts w:ascii="宋体" w:hAnsi="宋体"/>
                <w:sz w:val="18"/>
                <w:szCs w:val="18"/>
                <w:lang w:val="en-US"/>
              </w:rPr>
            </w:pPr>
            <w:r>
              <w:rPr>
                <w:rFonts w:hint="eastAsia"/>
                <w:lang w:val="en-US"/>
              </w:rPr>
              <w:t>光气候系数K</w:t>
            </w:r>
          </w:p>
        </w:tc>
        <w:tc>
          <w:tcPr>
            <w:tcW w:w="2066" w:type="dxa"/>
            <w:noWrap w:val="0"/>
            <w:vAlign w:val="center"/>
          </w:tcPr>
          <w:p>
            <w:pPr>
              <w:pStyle w:val="3"/>
              <w:rPr>
                <w:rFonts w:ascii="宋体" w:hAnsi="宋体"/>
                <w:sz w:val="18"/>
                <w:szCs w:val="18"/>
                <w:lang w:val="en-US"/>
              </w:rPr>
            </w:pPr>
            <w:r>
              <w:t>1.10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rFonts w:hint="eastAsia"/>
                <w:lang w:val="en-US"/>
              </w:rPr>
              <w:t>建筑面积</w:t>
            </w:r>
          </w:p>
        </w:tc>
        <w:tc>
          <w:tcPr>
            <w:tcW w:w="6447" w:type="dxa"/>
            <w:gridSpan w:val="3"/>
            <w:noWrap w:val="0"/>
            <w:vAlign w:val="center"/>
          </w:tcPr>
          <w:p>
            <w:pPr>
              <w:pStyle w:val="3"/>
              <w:rPr>
                <w:sz w:val="18"/>
                <w:szCs w:val="18"/>
                <w:lang w:val="en-US"/>
              </w:rPr>
            </w:pPr>
            <w:r>
              <w:rPr>
                <w:rFonts w:hint="eastAsia"/>
                <w:sz w:val="18"/>
                <w:szCs w:val="18"/>
                <w:lang w:val="en-US"/>
              </w:rPr>
              <w:t xml:space="preserve">地上  </w:t>
            </w:r>
            <w:r>
              <w:t>17363.89</w:t>
            </w:r>
            <w:r>
              <w:rPr>
                <w:rFonts w:hint="eastAsia"/>
                <w:sz w:val="18"/>
                <w:szCs w:val="18"/>
              </w:rPr>
              <w:t>㎡</w:t>
            </w:r>
            <w:r>
              <w:rPr>
                <w:rFonts w:hint="eastAsia"/>
                <w:sz w:val="18"/>
                <w:szCs w:val="18"/>
                <w:lang w:val="en-US"/>
              </w:rPr>
              <w:t xml:space="preserve">    地下  </w:t>
            </w:r>
            <w:r>
              <w:t>1192.93</w:t>
            </w:r>
            <w:r>
              <w:rPr>
                <w:rFonts w:hint="eastAsia"/>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rFonts w:hint="eastAsia"/>
                <w:lang w:val="en-US"/>
              </w:rPr>
              <w:t>建筑层数</w:t>
            </w:r>
          </w:p>
        </w:tc>
        <w:tc>
          <w:tcPr>
            <w:tcW w:w="6447" w:type="dxa"/>
            <w:gridSpan w:val="3"/>
            <w:noWrap w:val="0"/>
            <w:vAlign w:val="center"/>
          </w:tcPr>
          <w:p>
            <w:pPr>
              <w:pStyle w:val="3"/>
              <w:rPr>
                <w:sz w:val="18"/>
                <w:szCs w:val="18"/>
                <w:lang w:val="en-US"/>
              </w:rPr>
            </w:pPr>
            <w:r>
              <w:rPr>
                <w:rFonts w:hint="eastAsia"/>
                <w:sz w:val="18"/>
                <w:szCs w:val="18"/>
                <w:lang w:val="en-US"/>
              </w:rPr>
              <w:t xml:space="preserve">地上  </w:t>
            </w:r>
            <w:r>
              <w:t>7</w:t>
            </w:r>
            <w:r>
              <w:rPr>
                <w:rFonts w:hint="eastAsia"/>
                <w:sz w:val="18"/>
                <w:szCs w:val="18"/>
                <w:lang w:val="en-US"/>
              </w:rPr>
              <w:t xml:space="preserve">          地下</w:t>
            </w:r>
            <w: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rFonts w:hint="eastAsia"/>
                <w:lang w:val="en-US"/>
              </w:rPr>
              <w:t>建筑高度</w:t>
            </w:r>
          </w:p>
        </w:tc>
        <w:tc>
          <w:tcPr>
            <w:tcW w:w="6447" w:type="dxa"/>
            <w:gridSpan w:val="3"/>
            <w:noWrap w:val="0"/>
            <w:vAlign w:val="center"/>
          </w:tcPr>
          <w:p>
            <w:pPr>
              <w:pStyle w:val="3"/>
              <w:rPr>
                <w:sz w:val="18"/>
                <w:szCs w:val="18"/>
                <w:lang w:val="en-US"/>
              </w:rPr>
            </w:pPr>
            <w:r>
              <w:rPr>
                <w:rFonts w:hint="eastAsia"/>
                <w:sz w:val="18"/>
                <w:szCs w:val="18"/>
                <w:lang w:val="en-US"/>
              </w:rPr>
              <w:t xml:space="preserve">地上 </w:t>
            </w:r>
            <w:r>
              <w:t>26.20</w:t>
            </w:r>
            <w:r>
              <w:rPr>
                <w:rFonts w:hint="eastAsia"/>
                <w:sz w:val="18"/>
                <w:szCs w:val="18"/>
                <w:lang w:val="en-US"/>
              </w:rPr>
              <w:t xml:space="preserve"> m     地下  </w:t>
            </w:r>
            <w:r>
              <w:t>1.95</w:t>
            </w:r>
            <w:r>
              <w:rPr>
                <w:rFonts w:hint="eastAsia"/>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noWrap w:val="0"/>
            <w:vAlign w:val="top"/>
          </w:tcPr>
          <w:p>
            <w:pPr>
              <w:pStyle w:val="3"/>
              <w:spacing w:line="360" w:lineRule="exact"/>
              <w:rPr>
                <w:lang w:val="en-US"/>
              </w:rPr>
            </w:pPr>
            <w:r>
              <w:rPr>
                <w:rFonts w:hint="eastAsia"/>
                <w:lang w:val="en-US"/>
              </w:rPr>
              <w:t>备注</w:t>
            </w:r>
          </w:p>
        </w:tc>
        <w:tc>
          <w:tcPr>
            <w:tcW w:w="6447" w:type="dxa"/>
            <w:gridSpan w:val="3"/>
            <w:noWrap w:val="0"/>
            <w:vAlign w:val="center"/>
          </w:tcPr>
          <w:p>
            <w:pPr>
              <w:pStyle w:val="3"/>
              <w:rPr>
                <w:rFonts w:ascii="宋体" w:hAnsi="宋体"/>
                <w:sz w:val="18"/>
                <w:szCs w:val="18"/>
                <w:lang w:val="en-US"/>
              </w:rPr>
            </w:pPr>
          </w:p>
        </w:tc>
      </w:tr>
    </w:tbl>
    <w:p>
      <w:pPr>
        <w:rPr>
          <w:lang w:val="en-US"/>
        </w:rPr>
      </w:pPr>
    </w:p>
    <w:p>
      <w:pPr>
        <w:pStyle w:val="3"/>
        <w:ind w:firstLine="266" w:firstLineChars="95"/>
        <w:jc w:val="center"/>
        <w:rPr>
          <w:b/>
          <w:bCs/>
          <w:kern w:val="32"/>
          <w:sz w:val="28"/>
          <w:szCs w:val="28"/>
          <w:lang w:val="en-US"/>
        </w:rPr>
      </w:pPr>
    </w:p>
    <w:p>
      <w:pPr>
        <w:pStyle w:val="2"/>
      </w:pPr>
      <w:r>
        <w:rPr>
          <w:rFonts w:hint="eastAsia"/>
        </w:rPr>
        <w:t>设计依据</w:t>
      </w:r>
    </w:p>
    <w:p>
      <w:pPr>
        <w:numPr>
          <w:ilvl w:val="0"/>
          <w:numId w:val="2"/>
        </w:numPr>
        <w:jc w:val="left"/>
        <w:rPr>
          <w:lang w:val="en-US"/>
        </w:rPr>
      </w:pPr>
      <w:r>
        <w:rPr>
          <w:rFonts w:hint="eastAsia"/>
          <w:lang w:val="en-US"/>
        </w:rPr>
        <w:t>《绿色建筑评价标准》 GB50378-201</w:t>
      </w:r>
      <w:r>
        <w:rPr>
          <w:lang w:val="en-US"/>
        </w:rPr>
        <w:t>9</w:t>
      </w:r>
    </w:p>
    <w:p>
      <w:pPr>
        <w:numPr>
          <w:ilvl w:val="0"/>
          <w:numId w:val="2"/>
        </w:numPr>
        <w:jc w:val="left"/>
        <w:rPr>
          <w:lang w:val="en-US"/>
        </w:rPr>
      </w:pPr>
      <w:r>
        <w:rPr>
          <w:rFonts w:hint="eastAsia"/>
          <w:lang w:val="en-US"/>
        </w:rPr>
        <w:t xml:space="preserve">《建筑采光设计标准》 </w:t>
      </w:r>
      <w:bookmarkStart w:id="12" w:name="采光标准"/>
      <w:r>
        <w:rPr>
          <w:lang w:val="en-US"/>
        </w:rPr>
        <w:t>GB50033-2013</w:t>
      </w:r>
      <w:bookmarkEnd w:id="12"/>
    </w:p>
    <w:p>
      <w:pPr>
        <w:numPr>
          <w:ilvl w:val="0"/>
          <w:numId w:val="2"/>
        </w:numPr>
        <w:jc w:val="left"/>
        <w:rPr>
          <w:lang w:val="en-US"/>
        </w:rPr>
      </w:pPr>
      <w:r>
        <w:rPr>
          <w:lang w:val="en-US"/>
        </w:rPr>
        <w:t>《绿色建筑评价标准</w:t>
      </w:r>
      <w:r>
        <w:rPr>
          <w:rFonts w:hint="eastAsia"/>
          <w:lang w:val="en-US"/>
        </w:rPr>
        <w:t>技术细则2019</w:t>
      </w:r>
      <w:r>
        <w:rPr>
          <w:lang w:val="en-US"/>
        </w:rPr>
        <w:t>》</w:t>
      </w:r>
    </w:p>
    <w:p>
      <w:pPr>
        <w:numPr>
          <w:ilvl w:val="0"/>
          <w:numId w:val="2"/>
        </w:numPr>
        <w:jc w:val="left"/>
        <w:rPr>
          <w:lang w:val="en-US"/>
        </w:rPr>
      </w:pPr>
      <w:r>
        <w:rPr>
          <w:lang w:val="en-US"/>
        </w:rPr>
        <w:t>《采光测量方法》GB/T5699-2017</w:t>
      </w:r>
    </w:p>
    <w:p>
      <w:pPr>
        <w:pStyle w:val="3"/>
        <w:ind w:firstLine="420"/>
        <w:rPr>
          <w:rFonts w:ascii="宋体" w:hAnsi="宋体"/>
          <w:lang w:val="en-US"/>
        </w:rPr>
      </w:pPr>
    </w:p>
    <w:p>
      <w:pPr>
        <w:pStyle w:val="2"/>
      </w:pPr>
      <w:r>
        <w:rPr>
          <w:rFonts w:hint="eastAsia"/>
        </w:rPr>
        <w:t>分析</w:t>
      </w:r>
      <w:r>
        <w:t>目的</w:t>
      </w:r>
    </w:p>
    <w:p>
      <w:pPr>
        <w:ind w:firstLine="420" w:firstLineChars="200"/>
        <w:jc w:val="left"/>
      </w:pPr>
      <w:r>
        <w:rPr>
          <w:rFonts w:hint="eastAsia"/>
        </w:rPr>
        <w:t>通过采光分析计算，评价本项目的建筑内区采光情况</w:t>
      </w:r>
      <w:r>
        <w:t>，</w:t>
      </w:r>
      <w:r>
        <w:rPr>
          <w:rFonts w:hint="eastAsia"/>
        </w:rPr>
        <w:t>评估</w:t>
      </w:r>
      <w:r>
        <w:t>该建筑采光</w:t>
      </w:r>
      <w:r>
        <w:rPr>
          <w:rFonts w:hint="eastAsia"/>
        </w:rPr>
        <w:t>设计是否达到《绿色建筑评价标准</w:t>
      </w:r>
      <w:r>
        <w:t>》的5.2.8</w:t>
      </w:r>
      <w:r>
        <w:rPr>
          <w:rFonts w:hint="eastAsia"/>
        </w:rPr>
        <w:t>条对内区采光的得分要求。</w:t>
      </w:r>
    </w:p>
    <w:p>
      <w:pPr>
        <w:pStyle w:val="2"/>
      </w:pPr>
      <w:r>
        <w:rPr>
          <w:rFonts w:hint="eastAsia"/>
        </w:rPr>
        <w:t>标准</w:t>
      </w:r>
      <w:r>
        <w:t>要求</w:t>
      </w:r>
    </w:p>
    <w:p>
      <w:pPr>
        <w:pStyle w:val="14"/>
        <w:numPr>
          <w:ilvl w:val="0"/>
          <w:numId w:val="3"/>
        </w:numPr>
        <w:spacing w:line="420" w:lineRule="auto"/>
        <w:ind w:firstLineChars="0"/>
        <w:jc w:val="left"/>
        <w:rPr>
          <w:b/>
          <w:sz w:val="21"/>
          <w:szCs w:val="21"/>
        </w:rPr>
      </w:pPr>
      <w:r>
        <w:rPr>
          <w:rFonts w:ascii="Times New Roman" w:hAnsi="Times New Roman"/>
          <w:b/>
          <w:sz w:val="21"/>
          <w:szCs w:val="21"/>
        </w:rPr>
        <w:t>《绿色建筑评价标准》</w:t>
      </w:r>
      <w:r>
        <w:rPr>
          <w:rFonts w:ascii="微软雅黑" w:hAnsi="微软雅黑"/>
          <w:b/>
          <w:sz w:val="21"/>
          <w:szCs w:val="21"/>
        </w:rPr>
        <w:t>GB50378-2019</w:t>
      </w:r>
    </w:p>
    <w:p>
      <w:pPr>
        <w:ind w:left="210" w:leftChars="100"/>
        <w:jc w:val="left"/>
      </w:pPr>
      <w:r>
        <w:t xml:space="preserve">5. 2. 8 </w:t>
      </w:r>
      <w:r>
        <w:rPr>
          <w:rFonts w:hint="eastAsia"/>
        </w:rPr>
        <w:t>充分利用天然光，评价总分值为</w:t>
      </w:r>
      <w:r>
        <w:t xml:space="preserve">12 </w:t>
      </w:r>
      <w:r>
        <w:rPr>
          <w:rFonts w:hint="eastAsia"/>
        </w:rPr>
        <w:t>分，并按下列规则分别评分并累计：</w:t>
      </w:r>
    </w:p>
    <w:p>
      <w:pPr>
        <w:ind w:left="210" w:leftChars="100" w:firstLine="420" w:firstLineChars="200"/>
        <w:jc w:val="left"/>
      </w:pPr>
      <w:r>
        <w:t xml:space="preserve">2 </w:t>
      </w:r>
      <w:r>
        <w:rPr>
          <w:rFonts w:hint="eastAsia"/>
        </w:rPr>
        <w:t>公共建筑按下列规则分别评分并累计：</w:t>
      </w:r>
    </w:p>
    <w:p>
      <w:pPr>
        <w:ind w:left="840" w:leftChars="400"/>
        <w:jc w:val="left"/>
      </w:pPr>
      <w:r>
        <w:t xml:space="preserve">1) </w:t>
      </w:r>
      <w:r>
        <w:rPr>
          <w:rFonts w:hint="eastAsia"/>
        </w:rPr>
        <w:t>内区采光系数满足采光要求的面积比例达到</w:t>
      </w:r>
      <w:bookmarkStart w:id="13" w:name="达标率评价要求"/>
      <w:r>
        <w:t>60%</w:t>
      </w:r>
      <w:bookmarkEnd w:id="13"/>
      <w:r>
        <w:t xml:space="preserve">, </w:t>
      </w:r>
      <w:r>
        <w:rPr>
          <w:rFonts w:hint="eastAsia"/>
        </w:rPr>
        <w:t>得</w:t>
      </w:r>
      <w:bookmarkStart w:id="14" w:name="达标率评价分值"/>
      <w:r>
        <w:t>3</w:t>
      </w:r>
      <w:bookmarkEnd w:id="14"/>
      <w:r>
        <w:t xml:space="preserve"> </w:t>
      </w:r>
      <w:r>
        <w:rPr>
          <w:rFonts w:hint="eastAsia"/>
        </w:rPr>
        <w:t>分；</w:t>
      </w:r>
    </w:p>
    <w:p>
      <w:pPr>
        <w:ind w:left="840" w:leftChars="400"/>
        <w:jc w:val="left"/>
      </w:pPr>
      <w:r>
        <w:t xml:space="preserve">2) </w:t>
      </w:r>
      <w:r>
        <w:rPr>
          <w:rFonts w:hint="eastAsia"/>
        </w:rPr>
        <w:t>地下空间平均采光系数不小于</w:t>
      </w:r>
      <w:r>
        <w:t xml:space="preserve">0.5% </w:t>
      </w:r>
      <w:r>
        <w:rPr>
          <w:rFonts w:hint="eastAsia"/>
        </w:rPr>
        <w:t>的面积与地下室首层面积的比例达到</w:t>
      </w:r>
      <w:r>
        <w:t xml:space="preserve">10% </w:t>
      </w:r>
      <w:r>
        <w:rPr>
          <w:rFonts w:hint="eastAsia"/>
        </w:rPr>
        <w:t>以上，得</w:t>
      </w:r>
      <w:r>
        <w:t xml:space="preserve">3 </w:t>
      </w:r>
      <w:r>
        <w:rPr>
          <w:rFonts w:hint="eastAsia"/>
        </w:rPr>
        <w:t>分；</w:t>
      </w:r>
    </w:p>
    <w:p>
      <w:pPr>
        <w:ind w:left="840" w:leftChars="400"/>
        <w:jc w:val="left"/>
      </w:pPr>
      <w:r>
        <w:t xml:space="preserve">3) </w:t>
      </w:r>
      <w:r>
        <w:rPr>
          <w:rFonts w:hint="eastAsia"/>
        </w:rPr>
        <w:t>室内主要功能空间至少</w:t>
      </w:r>
      <w:r>
        <w:t xml:space="preserve">60% </w:t>
      </w:r>
      <w:r>
        <w:rPr>
          <w:rFonts w:hint="eastAsia"/>
        </w:rPr>
        <w:t>面积比例区域的采光照度值</w:t>
      </w:r>
      <w:r>
        <w:t>不低千采光要求的小</w:t>
      </w:r>
      <w:r>
        <w:rPr>
          <w:rFonts w:hint="eastAsia"/>
        </w:rPr>
        <w:t>时</w:t>
      </w:r>
      <w:r>
        <w:t xml:space="preserve">数平均不少于4h/d, </w:t>
      </w:r>
      <w:r>
        <w:rPr>
          <w:rFonts w:hint="eastAsia"/>
        </w:rPr>
        <w:t>得</w:t>
      </w:r>
      <w:r>
        <w:t xml:space="preserve">3 </w:t>
      </w:r>
      <w:r>
        <w:rPr>
          <w:rFonts w:hint="eastAsia"/>
        </w:rPr>
        <w:t>分。</w:t>
      </w:r>
    </w:p>
    <w:p>
      <w:pPr>
        <w:pStyle w:val="14"/>
        <w:numPr>
          <w:ilvl w:val="0"/>
          <w:numId w:val="3"/>
        </w:numPr>
        <w:spacing w:line="420" w:lineRule="auto"/>
        <w:ind w:firstLineChars="0"/>
        <w:rPr>
          <w:b/>
          <w:sz w:val="21"/>
          <w:szCs w:val="21"/>
        </w:rPr>
      </w:pPr>
      <w:r>
        <w:rPr>
          <w:rFonts w:hint="eastAsia"/>
          <w:b/>
          <w:sz w:val="21"/>
          <w:szCs w:val="21"/>
        </w:rPr>
        <w:t>《建筑采光设计标准》</w:t>
      </w:r>
      <w:r>
        <w:rPr>
          <w:rFonts w:hint="eastAsia" w:ascii="微软雅黑" w:hAnsi="微软雅黑"/>
          <w:b/>
          <w:sz w:val="21"/>
          <w:szCs w:val="21"/>
        </w:rPr>
        <w:t>GB50033-2013</w:t>
      </w:r>
    </w:p>
    <w:p>
      <w:pPr>
        <w:pStyle w:val="14"/>
        <w:spacing w:line="360" w:lineRule="auto"/>
        <w:ind w:left="482" w:firstLine="0" w:firstLineChars="0"/>
        <w:rPr>
          <w:rFonts w:ascii="微软雅黑" w:hAnsi="微软雅黑"/>
          <w:sz w:val="21"/>
          <w:szCs w:val="21"/>
        </w:rPr>
      </w:pPr>
      <w:r>
        <w:rPr>
          <w:rFonts w:ascii="微软雅黑" w:hAnsi="微软雅黑"/>
          <w:sz w:val="21"/>
          <w:szCs w:val="21"/>
        </w:rPr>
        <w:t xml:space="preserve">3.0.4  </w:t>
      </w:r>
      <w:r>
        <w:rPr>
          <w:rFonts w:hint="eastAsia" w:ascii="微软雅黑" w:hAnsi="微软雅黑"/>
          <w:sz w:val="21"/>
          <w:szCs w:val="21"/>
        </w:rPr>
        <w:t>光气候分区应按本标准附录</w:t>
      </w:r>
      <w:r>
        <w:rPr>
          <w:rFonts w:ascii="微软雅黑" w:hAnsi="微软雅黑"/>
          <w:sz w:val="21"/>
          <w:szCs w:val="21"/>
        </w:rPr>
        <w:t>A</w:t>
      </w:r>
      <w:r>
        <w:rPr>
          <w:rFonts w:hint="eastAsia" w:ascii="微软雅黑" w:hAnsi="微软雅黑"/>
          <w:sz w:val="21"/>
          <w:szCs w:val="21"/>
        </w:rPr>
        <w:t>确定。各光气候区的室外天然光设计照度值应按表</w:t>
      </w:r>
      <w:r>
        <w:rPr>
          <w:rFonts w:ascii="微软雅黑" w:hAnsi="微软雅黑"/>
          <w:sz w:val="21"/>
          <w:szCs w:val="21"/>
        </w:rPr>
        <w:t>3.0.4</w:t>
      </w:r>
      <w:r>
        <w:rPr>
          <w:rFonts w:hint="eastAsia" w:ascii="微软雅黑" w:hAnsi="微软雅黑"/>
          <w:sz w:val="21"/>
          <w:szCs w:val="21"/>
        </w:rPr>
        <w:t>采用。所在地区的采光系数标准值应乘以相应地区的光气候系数</w:t>
      </w:r>
      <w:r>
        <w:rPr>
          <w:rFonts w:ascii="微软雅黑" w:hAnsi="微软雅黑"/>
          <w:sz w:val="21"/>
          <w:szCs w:val="21"/>
        </w:rPr>
        <w:t>K</w:t>
      </w:r>
      <w:r>
        <w:rPr>
          <w:rFonts w:hint="eastAsia" w:ascii="微软雅黑" w:hAnsi="微软雅黑"/>
          <w:sz w:val="21"/>
          <w:szCs w:val="21"/>
        </w:rPr>
        <w:t>。</w:t>
      </w:r>
    </w:p>
    <w:p>
      <w:pPr>
        <w:pStyle w:val="33"/>
        <w:spacing w:line="420" w:lineRule="auto"/>
        <w:ind w:left="902" w:hanging="420" w:firstLineChars="0"/>
      </w:pPr>
      <w:r>
        <w:rPr>
          <w:rFonts w:hint="eastAsia"/>
        </w:rPr>
        <w:t>表</w:t>
      </w:r>
      <w:r>
        <w:t xml:space="preserve">3.0.4  </w:t>
      </w:r>
      <w:r>
        <w:rPr>
          <w:rFonts w:hint="eastAsia"/>
        </w:rPr>
        <w:t>光气候系数</w:t>
      </w:r>
      <w:r>
        <w:t>K</w:t>
      </w:r>
      <w:r>
        <w:rPr>
          <w:rFonts w:hint="eastAsia"/>
        </w:rPr>
        <w:t>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1314"/>
        <w:gridCol w:w="1314"/>
        <w:gridCol w:w="1314"/>
        <w:gridCol w:w="1314"/>
        <w:gridCol w:w="13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951" w:type="dxa"/>
            <w:vAlign w:val="center"/>
          </w:tcPr>
          <w:p>
            <w:pPr>
              <w:widowControl w:val="0"/>
            </w:pPr>
            <w:r>
              <w:rPr>
                <w:rFonts w:hint="eastAsia"/>
              </w:rPr>
              <w:t>光气候区</w:t>
            </w:r>
          </w:p>
        </w:tc>
        <w:tc>
          <w:tcPr>
            <w:tcW w:w="1314" w:type="dxa"/>
            <w:vAlign w:val="center"/>
          </w:tcPr>
          <w:p>
            <w:pPr>
              <w:widowControl w:val="0"/>
            </w:pPr>
            <w:r>
              <w:rPr>
                <w:rFonts w:hint="eastAsia"/>
              </w:rPr>
              <w:t>Ⅰ</w:t>
            </w:r>
          </w:p>
        </w:tc>
        <w:tc>
          <w:tcPr>
            <w:tcW w:w="1314" w:type="dxa"/>
            <w:vAlign w:val="center"/>
          </w:tcPr>
          <w:p>
            <w:pPr>
              <w:widowControl w:val="0"/>
            </w:pPr>
            <w:r>
              <w:rPr>
                <w:rFonts w:hint="eastAsia"/>
              </w:rPr>
              <w:t>Ⅱ</w:t>
            </w:r>
          </w:p>
        </w:tc>
        <w:tc>
          <w:tcPr>
            <w:tcW w:w="1314" w:type="dxa"/>
            <w:vAlign w:val="center"/>
          </w:tcPr>
          <w:p>
            <w:pPr>
              <w:widowControl w:val="0"/>
            </w:pPr>
            <w:r>
              <w:rPr>
                <w:rFonts w:hint="eastAsia"/>
              </w:rPr>
              <w:t>Ⅲ</w:t>
            </w:r>
          </w:p>
        </w:tc>
        <w:tc>
          <w:tcPr>
            <w:tcW w:w="1314" w:type="dxa"/>
            <w:vAlign w:val="center"/>
          </w:tcPr>
          <w:p>
            <w:pPr>
              <w:widowControl w:val="0"/>
            </w:pPr>
            <w:r>
              <w:rPr>
                <w:rFonts w:hint="eastAsia"/>
              </w:rPr>
              <w:t>Ⅳ</w:t>
            </w:r>
          </w:p>
        </w:tc>
        <w:tc>
          <w:tcPr>
            <w:tcW w:w="1315" w:type="dxa"/>
            <w:vAlign w:val="center"/>
          </w:tcPr>
          <w:p>
            <w:pPr>
              <w:widowControl w:val="0"/>
            </w:pPr>
            <w:r>
              <w:rPr>
                <w:rFonts w:hint="eastAsia"/>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951" w:type="dxa"/>
            <w:vAlign w:val="center"/>
          </w:tcPr>
          <w:p>
            <w:pPr>
              <w:widowControl w:val="0"/>
            </w:pPr>
            <w:r>
              <w:rPr>
                <w:rFonts w:hint="eastAsia"/>
              </w:rPr>
              <w:t>K值</w:t>
            </w:r>
          </w:p>
        </w:tc>
        <w:tc>
          <w:tcPr>
            <w:tcW w:w="1314" w:type="dxa"/>
            <w:vAlign w:val="center"/>
          </w:tcPr>
          <w:p>
            <w:pPr>
              <w:widowControl w:val="0"/>
            </w:pPr>
            <w:r>
              <w:rPr>
                <w:rFonts w:hint="eastAsia"/>
              </w:rPr>
              <w:t>0.85</w:t>
            </w:r>
          </w:p>
        </w:tc>
        <w:tc>
          <w:tcPr>
            <w:tcW w:w="1314" w:type="dxa"/>
            <w:vAlign w:val="center"/>
          </w:tcPr>
          <w:p>
            <w:pPr>
              <w:widowControl w:val="0"/>
            </w:pPr>
            <w:r>
              <w:rPr>
                <w:rFonts w:hint="eastAsia"/>
              </w:rPr>
              <w:t>0.90</w:t>
            </w:r>
          </w:p>
        </w:tc>
        <w:tc>
          <w:tcPr>
            <w:tcW w:w="1314" w:type="dxa"/>
            <w:vAlign w:val="center"/>
          </w:tcPr>
          <w:p>
            <w:pPr>
              <w:widowControl w:val="0"/>
            </w:pPr>
            <w:r>
              <w:rPr>
                <w:rFonts w:hint="eastAsia"/>
              </w:rPr>
              <w:t>1.00</w:t>
            </w:r>
          </w:p>
        </w:tc>
        <w:tc>
          <w:tcPr>
            <w:tcW w:w="1314" w:type="dxa"/>
            <w:vAlign w:val="center"/>
          </w:tcPr>
          <w:p>
            <w:pPr>
              <w:widowControl w:val="0"/>
            </w:pPr>
            <w:r>
              <w:rPr>
                <w:rFonts w:hint="eastAsia"/>
              </w:rPr>
              <w:t>1.10</w:t>
            </w:r>
          </w:p>
        </w:tc>
        <w:tc>
          <w:tcPr>
            <w:tcW w:w="1315" w:type="dxa"/>
            <w:vAlign w:val="center"/>
          </w:tcPr>
          <w:p>
            <w:pPr>
              <w:widowControl w:val="0"/>
            </w:pPr>
            <w:r>
              <w:rPr>
                <w:rFonts w:hint="eastAsia"/>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951" w:type="dxa"/>
            <w:vAlign w:val="center"/>
          </w:tcPr>
          <w:p>
            <w:pPr>
              <w:widowControl w:val="0"/>
            </w:pPr>
            <w:r>
              <w:rPr>
                <w:rFonts w:hint="eastAsia"/>
              </w:rPr>
              <w:t>室外天然光设计照度值Es （lx）</w:t>
            </w:r>
          </w:p>
        </w:tc>
        <w:tc>
          <w:tcPr>
            <w:tcW w:w="1314" w:type="dxa"/>
            <w:vAlign w:val="center"/>
          </w:tcPr>
          <w:p>
            <w:pPr>
              <w:widowControl w:val="0"/>
              <w:ind w:firstLine="105" w:firstLineChars="50"/>
            </w:pPr>
            <w:r>
              <w:rPr>
                <w:rFonts w:hint="eastAsia"/>
              </w:rPr>
              <w:t>18000</w:t>
            </w:r>
          </w:p>
        </w:tc>
        <w:tc>
          <w:tcPr>
            <w:tcW w:w="1314" w:type="dxa"/>
            <w:vAlign w:val="center"/>
          </w:tcPr>
          <w:p>
            <w:pPr>
              <w:widowControl w:val="0"/>
              <w:ind w:firstLine="105" w:firstLineChars="50"/>
            </w:pPr>
            <w:r>
              <w:rPr>
                <w:rFonts w:hint="eastAsia"/>
              </w:rPr>
              <w:t>16500</w:t>
            </w:r>
          </w:p>
        </w:tc>
        <w:tc>
          <w:tcPr>
            <w:tcW w:w="1314" w:type="dxa"/>
            <w:vAlign w:val="center"/>
          </w:tcPr>
          <w:p>
            <w:pPr>
              <w:widowControl w:val="0"/>
              <w:ind w:firstLine="105" w:firstLineChars="50"/>
            </w:pPr>
            <w:r>
              <w:rPr>
                <w:rFonts w:hint="eastAsia"/>
              </w:rPr>
              <w:t>15000</w:t>
            </w:r>
          </w:p>
        </w:tc>
        <w:tc>
          <w:tcPr>
            <w:tcW w:w="1314" w:type="dxa"/>
            <w:vAlign w:val="center"/>
          </w:tcPr>
          <w:p>
            <w:pPr>
              <w:widowControl w:val="0"/>
              <w:ind w:firstLine="105" w:firstLineChars="50"/>
            </w:pPr>
            <w:r>
              <w:rPr>
                <w:rFonts w:hint="eastAsia"/>
              </w:rPr>
              <w:t>13500</w:t>
            </w:r>
          </w:p>
        </w:tc>
        <w:tc>
          <w:tcPr>
            <w:tcW w:w="1315" w:type="dxa"/>
            <w:vAlign w:val="center"/>
          </w:tcPr>
          <w:p>
            <w:pPr>
              <w:widowControl w:val="0"/>
              <w:ind w:firstLine="105" w:firstLineChars="50"/>
            </w:pPr>
            <w:r>
              <w:rPr>
                <w:rFonts w:hint="eastAsia"/>
              </w:rPr>
              <w:t>12000</w:t>
            </w:r>
          </w:p>
        </w:tc>
      </w:tr>
    </w:tbl>
    <w:p>
      <w:pPr>
        <w:ind w:firstLine="420" w:firstLineChars="200"/>
        <w:jc w:val="left"/>
        <w:rPr>
          <w:lang w:val="en-US"/>
        </w:rPr>
      </w:pPr>
    </w:p>
    <w:p>
      <w:pPr>
        <w:jc w:val="left"/>
      </w:pPr>
      <w:r>
        <w:rPr>
          <w:rFonts w:hint="eastAsia"/>
          <w:lang w:val="en-US"/>
        </w:rPr>
        <w:t>注：</w:t>
      </w:r>
      <w:r>
        <w:rPr>
          <w:lang w:val="en-US"/>
        </w:rPr>
        <w:t>《绿色建筑评价标准</w:t>
      </w:r>
      <w:r>
        <w:rPr>
          <w:rFonts w:hint="eastAsia"/>
          <w:lang w:val="en-US"/>
        </w:rPr>
        <w:t>技术细则2019</w:t>
      </w:r>
      <w:r>
        <w:rPr>
          <w:lang w:val="en-US"/>
        </w:rPr>
        <w:t>》5.2.8</w:t>
      </w:r>
      <w:r>
        <w:rPr>
          <w:rFonts w:hint="eastAsia"/>
          <w:lang w:val="en-US"/>
        </w:rPr>
        <w:t>条文说明指出：</w:t>
      </w:r>
      <w:r>
        <w:t>公共建筑主要功能空间为现行国家标准《建筑采光设计标准》GB50033中Ⅱ~V级有采光标准值要求的场所。</w:t>
      </w:r>
    </w:p>
    <w:p>
      <w:pPr>
        <w:pStyle w:val="2"/>
      </w:pPr>
      <w:bookmarkStart w:id="15" w:name="_Toc290209336"/>
      <w:bookmarkStart w:id="16" w:name="_Toc312399791"/>
      <w:bookmarkStart w:id="17" w:name="_Toc290149054"/>
      <w:bookmarkStart w:id="18" w:name="_Toc290209312"/>
      <w:bookmarkStart w:id="19" w:name="_Toc264569232"/>
      <w:bookmarkStart w:id="20" w:name="_Toc275165382"/>
      <w:bookmarkStart w:id="21" w:name="_Toc264043625"/>
      <w:r>
        <w:rPr>
          <w:rFonts w:hint="eastAsia"/>
        </w:rPr>
        <w:t>采光分析</w:t>
      </w:r>
      <w:r>
        <w:t>概述</w:t>
      </w:r>
      <w:bookmarkEnd w:id="15"/>
      <w:bookmarkEnd w:id="16"/>
      <w:bookmarkEnd w:id="17"/>
      <w:bookmarkEnd w:id="18"/>
      <w:bookmarkEnd w:id="19"/>
      <w:bookmarkEnd w:id="20"/>
      <w:bookmarkEnd w:id="21"/>
    </w:p>
    <w:p>
      <w:pPr>
        <w:ind w:firstLine="420" w:firstLineChars="200"/>
        <w:jc w:val="left"/>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4"/>
      </w:pPr>
      <w:r>
        <w:rPr>
          <w:rFonts w:hint="eastAsia"/>
        </w:rPr>
        <w:t>计算原理</w:t>
      </w:r>
    </w:p>
    <w:p>
      <w:pPr>
        <w:ind w:firstLine="420" w:firstLineChars="200"/>
        <w:jc w:val="left"/>
        <w:rPr>
          <w:rFonts w:ascii="宋体" w:hAnsi="宋体"/>
          <w:lang w:val="en-US"/>
        </w:rPr>
      </w:pPr>
      <w:r>
        <w:rPr>
          <w:rFonts w:hint="eastAsia" w:ascii="宋体" w:hAnsi="宋体"/>
          <w:lang w:val="en-US"/>
        </w:rPr>
        <w:t>根据</w:t>
      </w:r>
      <w:r>
        <w:rPr>
          <w:rFonts w:ascii="宋体" w:hAnsi="宋体"/>
          <w:lang w:val="en-US"/>
        </w:rPr>
        <w:t>《绿色建筑评价标准》</w:t>
      </w:r>
      <w:r>
        <w:rPr>
          <w:lang w:val="en-US"/>
        </w:rPr>
        <w:t>GB50378-2019</w:t>
      </w:r>
      <w:r>
        <w:rPr>
          <w:rFonts w:hint="eastAsia"/>
          <w:lang w:val="en-US"/>
        </w:rPr>
        <w:t>的</w:t>
      </w:r>
      <w:r>
        <w:rPr>
          <w:lang w:val="en-US"/>
        </w:rPr>
        <w:t>要求，为了求得满足采光</w:t>
      </w:r>
      <w:r>
        <w:rPr>
          <w:rFonts w:hint="eastAsia"/>
          <w:lang w:val="en-US"/>
        </w:rPr>
        <w:t>要求</w:t>
      </w:r>
      <w:r>
        <w:rPr>
          <w:lang w:val="en-US"/>
        </w:rPr>
        <w:t>的面积比例，首先要</w:t>
      </w:r>
      <w:r>
        <w:rPr>
          <w:rFonts w:hint="eastAsia"/>
          <w:lang w:val="en-US"/>
        </w:rPr>
        <w:t>进行建筑内</w:t>
      </w:r>
      <w:r>
        <w:rPr>
          <w:lang w:val="en-US"/>
        </w:rPr>
        <w:t>采光系数</w:t>
      </w:r>
      <w:r>
        <w:rPr>
          <w:rFonts w:hint="eastAsia"/>
          <w:lang w:val="en-US"/>
        </w:rPr>
        <w:t>的</w:t>
      </w:r>
      <w:r>
        <w:rPr>
          <w:lang w:val="en-US"/>
        </w:rPr>
        <w:t>计算，</w:t>
      </w:r>
      <w:r>
        <w:rPr>
          <w:rFonts w:hint="eastAsia"/>
          <w:lang w:val="en-US"/>
        </w:rPr>
        <w:t>然后</w:t>
      </w:r>
      <w:r>
        <w:rPr>
          <w:lang w:val="en-US"/>
        </w:rPr>
        <w:t>统计内区轮廓</w:t>
      </w:r>
      <w:r>
        <w:rPr>
          <w:rFonts w:hint="eastAsia"/>
          <w:lang w:val="en-US"/>
        </w:rPr>
        <w:t>中</w:t>
      </w:r>
      <w:r>
        <w:rPr>
          <w:lang w:val="en-US"/>
        </w:rPr>
        <w:t>满足</w:t>
      </w:r>
      <w:r>
        <w:rPr>
          <w:rFonts w:hint="eastAsia"/>
          <w:lang w:val="en-US"/>
        </w:rPr>
        <w:t>采光</w:t>
      </w:r>
      <w:r>
        <w:rPr>
          <w:lang w:val="en-US"/>
        </w:rPr>
        <w:t>要求的</w:t>
      </w:r>
      <w:r>
        <w:rPr>
          <w:rFonts w:hint="eastAsia"/>
          <w:lang w:val="en-US"/>
        </w:rPr>
        <w:t>面积比例（内区</w:t>
      </w:r>
      <w:r>
        <w:rPr>
          <w:lang w:val="en-US"/>
        </w:rPr>
        <w:t>采光达标率统计方法</w:t>
      </w:r>
      <w:r>
        <w:rPr>
          <w:rFonts w:hint="eastAsia"/>
          <w:lang w:val="en-US"/>
        </w:rPr>
        <w:t>与</w:t>
      </w:r>
      <w:r>
        <w:rPr>
          <w:lang w:val="en-US"/>
        </w:rPr>
        <w:t>采光系数达标率原则</w:t>
      </w:r>
      <w:r>
        <w:rPr>
          <w:rFonts w:hint="eastAsia"/>
          <w:lang w:val="en-US"/>
        </w:rPr>
        <w:t>一致）</w:t>
      </w:r>
      <w:r>
        <w:rPr>
          <w:lang w:val="en-US"/>
        </w:rPr>
        <w:t>。</w:t>
      </w:r>
      <w:r>
        <w:rPr>
          <w:rFonts w:hint="eastAsia"/>
          <w:lang w:val="en-US"/>
        </w:rPr>
        <w:t>本节依</w:t>
      </w:r>
      <w:r>
        <w:rPr>
          <w:lang w:val="en-US"/>
        </w:rPr>
        <w:t>次对采光系数、采光系数标准值、</w:t>
      </w:r>
      <w:r>
        <w:rPr>
          <w:rFonts w:hint="eastAsia"/>
          <w:lang w:val="en-US"/>
        </w:rPr>
        <w:t>采光</w:t>
      </w:r>
      <w:r>
        <w:rPr>
          <w:lang w:val="en-US"/>
        </w:rPr>
        <w:t>系数达标率计算原则进行介绍。</w:t>
      </w:r>
    </w:p>
    <w:p>
      <w:pPr>
        <w:ind w:firstLine="420" w:firstLineChars="200"/>
        <w:jc w:val="left"/>
        <w:rPr>
          <w:b/>
        </w:rPr>
      </w:pPr>
      <w:r>
        <w:rPr>
          <w:rFonts w:hint="eastAsia"/>
          <w:b/>
        </w:rPr>
        <w:t>1.</w:t>
      </w:r>
      <w:r>
        <w:rPr>
          <w:b/>
        </w:rPr>
        <w:t>采光系数</w:t>
      </w:r>
    </w:p>
    <w:p>
      <w:pPr>
        <w:ind w:firstLine="420" w:firstLineChars="200"/>
        <w:jc w:val="left"/>
      </w:pPr>
      <w:r>
        <w:t>在室内参考平上的一点，由直接或间接地接收来自假定和已知天空亮度分布的天空漫射光而产生的照度与同一时刻该天空半球在室外无遮挡水平面上产生的天空漫射光照度之比。</w:t>
      </w:r>
    </w:p>
    <w:p>
      <w:pPr>
        <w:jc w:val="left"/>
      </w:pPr>
      <w:r>
        <w:t>室内某一点的采光系数C，计算公式为：</w:t>
      </w:r>
    </w:p>
    <w:p>
      <w:pPr>
        <w:pStyle w:val="14"/>
        <w:spacing w:line="360" w:lineRule="auto"/>
        <w:ind w:firstLine="420"/>
        <w:jc w:val="left"/>
        <w:rPr>
          <w:rFonts w:ascii="Times New Roman" w:hAnsi="Times New Roman"/>
          <w:sz w:val="21"/>
          <w:szCs w:val="21"/>
        </w:rPr>
      </w:pPr>
      <w:r>
        <w:rPr>
          <w:rFonts w:ascii="Times New Roman" w:hAnsi="Times New Roman"/>
          <w:sz w:val="21"/>
          <w:szCs w:val="21"/>
        </w:rPr>
        <w:drawing>
          <wp:inline distT="0" distB="0" distL="0" distR="0">
            <wp:extent cx="1069975" cy="448310"/>
            <wp:effectExtent l="0" t="0" r="0" b="0"/>
            <wp:docPr id="2"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ject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069975" cy="448310"/>
                    </a:xfrm>
                    <a:prstGeom prst="rect">
                      <a:avLst/>
                    </a:prstGeom>
                    <a:noFill/>
                    <a:ln>
                      <a:noFill/>
                    </a:ln>
                  </pic:spPr>
                </pic:pic>
              </a:graphicData>
            </a:graphic>
          </wp:inline>
        </w:drawing>
      </w:r>
    </w:p>
    <w:p>
      <w:pPr>
        <w:ind w:left="420" w:leftChars="200"/>
        <w:jc w:val="left"/>
      </w:pPr>
      <w:r>
        <w:t>式中:En—室内照度</w:t>
      </w:r>
      <w:r>
        <w:rPr>
          <w:rFonts w:hint="eastAsia"/>
        </w:rPr>
        <w:t>，lx</w:t>
      </w:r>
      <w:r>
        <w:t>；</w:t>
      </w:r>
    </w:p>
    <w:p>
      <w:pPr>
        <w:ind w:firstLine="840" w:firstLineChars="400"/>
        <w:jc w:val="left"/>
      </w:pPr>
      <w:r>
        <w:t>Ew—室外照度，</w:t>
      </w:r>
      <w:r>
        <w:rPr>
          <w:rFonts w:hint="eastAsia"/>
        </w:rPr>
        <w:t>lx</w:t>
      </w:r>
      <w:r>
        <w:t>。</w:t>
      </w:r>
    </w:p>
    <w:p>
      <w:pPr>
        <w:ind w:firstLine="420" w:firstLineChars="200"/>
        <w:jc w:val="left"/>
        <w:rPr>
          <w:b/>
        </w:rPr>
      </w:pPr>
      <w:r>
        <w:rPr>
          <w:rFonts w:hint="eastAsia"/>
          <w:b/>
        </w:rPr>
        <w:t>2.</w:t>
      </w:r>
      <w:r>
        <w:rPr>
          <w:b/>
        </w:rPr>
        <w:t>采光系数标准值</w:t>
      </w:r>
    </w:p>
    <w:p>
      <w:pPr>
        <w:ind w:firstLine="420" w:firstLineChars="200"/>
        <w:jc w:val="left"/>
      </w:pPr>
      <w:r>
        <w:t>在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ind w:firstLine="420" w:firstLineChars="200"/>
        <w:jc w:val="left"/>
        <w:rPr>
          <w:b/>
        </w:rPr>
      </w:pPr>
      <w:r>
        <w:rPr>
          <w:rFonts w:hint="eastAsia"/>
          <w:b/>
        </w:rPr>
        <w:t>3.</w:t>
      </w:r>
      <w:r>
        <w:rPr>
          <w:b/>
        </w:rPr>
        <w:t>采光系数达标率</w:t>
      </w:r>
    </w:p>
    <w:p>
      <w:pPr>
        <w:ind w:firstLine="420" w:firstLineChars="200"/>
        <w:jc w:val="left"/>
      </w:pPr>
      <w:r>
        <w:t>如果房间的平均采光系数达到采光系数标准值，则达标率100%，全部计入达标面积；否则对网格点采光系数由高到低进行排序，前n个点的算术平均值刚好达到采光系数标准值时，那么达标率f=n/Z，Z为网格点总数，房间的达标面积 = A ×f；各个主要功能房间的达标面积之和除以建筑主要功能房间的总面积，就是单体建筑的达标率。</w:t>
      </w:r>
    </w:p>
    <w:p>
      <w:pPr>
        <w:pStyle w:val="4"/>
      </w:pPr>
      <w:bookmarkStart w:id="22" w:name="_Toc264043630"/>
      <w:bookmarkStart w:id="23" w:name="_Toc264569237"/>
      <w:bookmarkStart w:id="24" w:name="_Toc275165387"/>
      <w:bookmarkStart w:id="25" w:name="_Toc290149059"/>
      <w:bookmarkStart w:id="26" w:name="_Toc290209317"/>
      <w:bookmarkStart w:id="27" w:name="_Toc290209341"/>
      <w:bookmarkStart w:id="28" w:name="_Toc312399796"/>
      <w:r>
        <w:t>分析软件</w:t>
      </w:r>
      <w:bookmarkEnd w:id="22"/>
      <w:bookmarkEnd w:id="23"/>
      <w:bookmarkEnd w:id="24"/>
      <w:bookmarkEnd w:id="25"/>
      <w:bookmarkEnd w:id="26"/>
      <w:bookmarkEnd w:id="27"/>
      <w:bookmarkEnd w:id="28"/>
    </w:p>
    <w:p>
      <w:pPr>
        <w:pStyle w:val="3"/>
        <w:ind w:firstLine="420"/>
      </w:pPr>
      <w:r>
        <w:t>本报告采用绿建斯维尔采光分析软件Dali建模，利用Radiance程序内核进行模拟计算，最后将计算结果返回到Dali进行处理分析。Dali是国内首款与国标《建筑采光设计标准》GB50033-2013配套的软件，支持《绿色建筑评价标准》GB/T50378-2014的采光指标要求，</w:t>
      </w:r>
      <w:r>
        <w:rPr>
          <w:rFonts w:hint="eastAsia"/>
        </w:rPr>
        <w:t>软件</w:t>
      </w:r>
      <w:r>
        <w:t>以Radiance为计算核心</w:t>
      </w:r>
      <w:r>
        <w:rPr>
          <w:rFonts w:hint="eastAsia"/>
        </w:rPr>
        <w:t>。</w:t>
      </w:r>
      <w:r>
        <w:t>Radiance采用蒙特卡洛算法优化的反向光线追踪算法，可以在保持高精度计算的条件下取得更快的计算效率，国际上采光标准制定与论文大都采用Radiance进行模拟，国际上大部分商用采光分析软件都是基于Radiance程序内核进行开发。Dali可对内区采光、达标率、地下采光、视野率、眩光指数等进行快速分析，</w:t>
      </w:r>
      <w:r>
        <w:rPr>
          <w:rFonts w:hint="eastAsia"/>
        </w:rPr>
        <w:t>并根据不同需求生成《公共建筑</w:t>
      </w:r>
      <w:r>
        <w:t>内区采光</w:t>
      </w:r>
      <w:r>
        <w:rPr>
          <w:rFonts w:hint="eastAsia"/>
        </w:rPr>
        <w:t>分析</w:t>
      </w:r>
      <w:r>
        <w:t>报告书</w:t>
      </w:r>
      <w:r>
        <w:rPr>
          <w:rFonts w:hint="eastAsia"/>
        </w:rPr>
        <w:t>》等一系列采光分析报告书。</w:t>
      </w:r>
    </w:p>
    <w:p>
      <w:pPr>
        <w:pStyle w:val="3"/>
        <w:ind w:firstLine="420"/>
      </w:pPr>
      <w:r>
        <w:t>Dali已通过了《建筑采光设计标准》GB50033-2013标准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Pr>
          <w:rFonts w:hint="eastAsia"/>
        </w:rPr>
        <w:t>。</w:t>
      </w:r>
    </w:p>
    <w:p>
      <w:pPr>
        <w:pStyle w:val="2"/>
      </w:pPr>
      <w:r>
        <w:rPr>
          <w:rFonts w:hint="eastAsia"/>
        </w:rPr>
        <w:t>采光计算</w:t>
      </w:r>
      <w:r>
        <w:t>参数</w:t>
      </w:r>
      <w:r>
        <w:rPr>
          <w:rFonts w:hint="eastAsia"/>
        </w:rPr>
        <w:t>取值</w:t>
      </w:r>
    </w:p>
    <w:p>
      <w:pPr>
        <w:pStyle w:val="4"/>
      </w:pPr>
      <w:bookmarkStart w:id="29" w:name="_Toc264043629"/>
      <w:bookmarkStart w:id="30" w:name="_Toc264569236"/>
      <w:bookmarkStart w:id="31" w:name="_Toc275165386"/>
      <w:bookmarkStart w:id="32" w:name="_Toc290149058"/>
      <w:bookmarkStart w:id="33" w:name="_Toc290209316"/>
      <w:bookmarkStart w:id="34" w:name="_Toc290209340"/>
      <w:bookmarkStart w:id="35" w:name="_Toc312399795"/>
      <w:r>
        <w:t>模拟</w:t>
      </w:r>
      <w:bookmarkEnd w:id="29"/>
      <w:bookmarkEnd w:id="30"/>
      <w:bookmarkEnd w:id="31"/>
      <w:bookmarkEnd w:id="32"/>
      <w:bookmarkEnd w:id="33"/>
      <w:bookmarkEnd w:id="34"/>
      <w:bookmarkEnd w:id="35"/>
      <w:r>
        <w:rPr>
          <w:rFonts w:hint="eastAsia"/>
        </w:rPr>
        <w:t>分析条件说明</w:t>
      </w:r>
    </w:p>
    <w:p>
      <w:pPr>
        <w:ind w:left="630" w:leftChars="300"/>
        <w:jc w:val="left"/>
      </w:pPr>
      <w:r>
        <w:rPr>
          <w:rFonts w:hint="eastAsia"/>
          <w:b/>
        </w:rPr>
        <w:t>天空模型</w:t>
      </w:r>
      <w:r>
        <w:rPr>
          <w:rFonts w:hint="eastAsia"/>
        </w:rPr>
        <w:t>：</w:t>
      </w:r>
      <w:r>
        <w:t>CIE全阴天天空。</w:t>
      </w:r>
    </w:p>
    <w:p>
      <w:pPr>
        <w:ind w:left="630" w:leftChars="300"/>
        <w:jc w:val="left"/>
      </w:pPr>
      <w:r>
        <w:rPr>
          <w:rFonts w:hint="eastAsia"/>
          <w:b/>
        </w:rPr>
        <w:t>分析参考平面</w:t>
      </w:r>
      <w:r>
        <w:rPr>
          <w:rFonts w:hint="eastAsia"/>
        </w:rPr>
        <w:t>：功能房间取距地面</w:t>
      </w:r>
      <w:bookmarkStart w:id="36" w:name="分析面高"/>
      <w:r>
        <w:t>0.75</w:t>
      </w:r>
      <w:bookmarkEnd w:id="36"/>
      <w:r>
        <w:rPr>
          <w:rFonts w:hint="eastAsia"/>
        </w:rPr>
        <w:t xml:space="preserve">m </w:t>
      </w:r>
    </w:p>
    <w:p>
      <w:pPr>
        <w:ind w:left="630" w:leftChars="300"/>
        <w:jc w:val="left"/>
      </w:pPr>
      <w:r>
        <w:rPr>
          <w:rFonts w:hint="eastAsia"/>
          <w:b/>
        </w:rPr>
        <w:t>分析计算网格划分的间距</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rPr>
                <w:szCs w:val="18"/>
              </w:rPr>
            </w:pPr>
            <w:r>
              <w:rPr>
                <w:rFonts w:hint="eastAsia"/>
                <w:szCs w:val="18"/>
              </w:rPr>
              <w:t>房间面积(m2)</w:t>
            </w:r>
          </w:p>
        </w:tc>
        <w:tc>
          <w:tcPr>
            <w:tcW w:w="3272" w:type="dxa"/>
            <w:shd w:val="clear" w:color="auto" w:fill="E6E6E6"/>
            <w:vAlign w:val="center"/>
          </w:tcPr>
          <w:p>
            <w:pP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37" w:name="网格划分小房间面积"/>
            <w:r>
              <w:rPr>
                <w:szCs w:val="18"/>
              </w:rPr>
              <w:t>10</w:t>
            </w:r>
            <w:bookmarkEnd w:id="37"/>
          </w:p>
        </w:tc>
        <w:tc>
          <w:tcPr>
            <w:tcW w:w="3272" w:type="dxa"/>
            <w:shd w:val="clear" w:color="auto" w:fill="auto"/>
            <w:vAlign w:val="center"/>
          </w:tcPr>
          <w:p>
            <w:pPr>
              <w:rPr>
                <w:szCs w:val="18"/>
              </w:rPr>
            </w:pPr>
            <w:bookmarkStart w:id="38" w:name="小房间网格大小"/>
            <w:r>
              <w:rPr>
                <w:szCs w:val="18"/>
              </w:rPr>
              <w:t>0.25</w:t>
            </w:r>
            <w:bookmarkEnd w:id="3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bookmarkStart w:id="39" w:name="网格划分房间面积"/>
            <w:r>
              <w:rPr>
                <w:szCs w:val="18"/>
              </w:rPr>
              <w:t>10~100</w:t>
            </w:r>
            <w:bookmarkEnd w:id="39"/>
          </w:p>
        </w:tc>
        <w:tc>
          <w:tcPr>
            <w:tcW w:w="3272" w:type="dxa"/>
            <w:shd w:val="clear" w:color="auto" w:fill="auto"/>
            <w:vAlign w:val="center"/>
          </w:tcPr>
          <w:p>
            <w:pPr>
              <w:rPr>
                <w:szCs w:val="18"/>
              </w:rPr>
            </w:pPr>
            <w:bookmarkStart w:id="40" w:name="网格大小"/>
            <w:r>
              <w:rPr>
                <w:szCs w:val="18"/>
              </w:rPr>
              <w:t>0.50</w:t>
            </w:r>
            <w:bookmarkEnd w:id="4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rPr>
                <w:szCs w:val="18"/>
              </w:rPr>
            </w:pPr>
            <w:r>
              <w:rPr>
                <w:rFonts w:hint="eastAsia"/>
                <w:szCs w:val="18"/>
              </w:rPr>
              <w:t>≥</w:t>
            </w:r>
            <w:bookmarkStart w:id="41" w:name="网格划分大房间面积"/>
            <w:r>
              <w:rPr>
                <w:szCs w:val="18"/>
              </w:rPr>
              <w:t>100</w:t>
            </w:r>
            <w:bookmarkEnd w:id="41"/>
          </w:p>
        </w:tc>
        <w:tc>
          <w:tcPr>
            <w:tcW w:w="3272" w:type="dxa"/>
            <w:shd w:val="clear" w:color="auto" w:fill="auto"/>
            <w:vAlign w:val="center"/>
          </w:tcPr>
          <w:p>
            <w:pPr>
              <w:rPr>
                <w:szCs w:val="18"/>
              </w:rPr>
            </w:pPr>
            <w:bookmarkStart w:id="42" w:name="大房间网格大小"/>
            <w:r>
              <w:rPr>
                <w:szCs w:val="18"/>
              </w:rPr>
              <w:t>1.00</w:t>
            </w:r>
            <w:bookmarkEnd w:id="42"/>
          </w:p>
        </w:tc>
      </w:tr>
    </w:tbl>
    <w:p>
      <w:pPr>
        <w:ind w:left="630" w:leftChars="300"/>
        <w:jc w:val="left"/>
      </w:pPr>
      <w:r>
        <w:rPr>
          <w:rFonts w:hint="eastAsia"/>
          <w:b/>
        </w:rPr>
        <w:t>周边环境：</w:t>
      </w:r>
      <w:r>
        <w:rPr>
          <w:rFonts w:hint="eastAsia"/>
        </w:rPr>
        <w:t>考虑分析区内的建筑物之间遮挡</w:t>
      </w:r>
    </w:p>
    <w:p>
      <w:pPr>
        <w:ind w:left="630" w:leftChars="300"/>
        <w:jc w:val="left"/>
      </w:pPr>
      <w:r>
        <w:rPr>
          <w:rFonts w:hint="eastAsia"/>
          <w:b/>
        </w:rPr>
        <w:t>室内环境：</w:t>
      </w:r>
      <w:r>
        <w:rPr>
          <w:rFonts w:hint="eastAsia"/>
        </w:rPr>
        <w:t>忽略室内家具类设施的影响，只考虑永久固定的顶棚、地面和墙面</w:t>
      </w:r>
    </w:p>
    <w:p>
      <w:pPr>
        <w:pStyle w:val="4"/>
      </w:pPr>
      <w:r>
        <w:rPr>
          <w:rFonts w:hint="eastAsia"/>
        </w:rPr>
        <w:t>建筑饰面材料参数</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24"/>
        <w:gridCol w:w="3464"/>
        <w:gridCol w:w="35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219" w:type="dxa"/>
            <w:gridSpan w:val="3"/>
            <w:tcBorders>
              <w:top w:val="single" w:color="auto" w:sz="12" w:space="0"/>
              <w:bottom w:val="single" w:color="auto" w:sz="4" w:space="0"/>
            </w:tcBorders>
            <w:shd w:val="clear" w:color="auto" w:fill="E6E6E6"/>
            <w:vAlign w:val="center"/>
          </w:tcPr>
          <w:p>
            <w:pPr>
              <w:rPr>
                <w:rFonts w:ascii="宋体" w:hAnsi="宋体"/>
                <w:sz w:val="18"/>
                <w:lang w:val="en-US"/>
              </w:rPr>
            </w:pPr>
            <w:r>
              <w:rPr>
                <w:rFonts w:hint="eastAsia"/>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bottom w:val="single" w:color="auto" w:sz="4" w:space="0"/>
            </w:tcBorders>
            <w:shd w:val="clear" w:color="auto" w:fill="E6E6E6"/>
            <w:vAlign w:val="center"/>
          </w:tcPr>
          <w:p>
            <w:pPr>
              <w:rPr>
                <w:szCs w:val="18"/>
              </w:rPr>
            </w:pPr>
            <w:r>
              <w:rPr>
                <w:rFonts w:hint="eastAsia"/>
                <w:szCs w:val="18"/>
              </w:rPr>
              <w:t>部位</w:t>
            </w:r>
          </w:p>
        </w:tc>
        <w:tc>
          <w:tcPr>
            <w:tcW w:w="3464" w:type="dxa"/>
            <w:tcBorders>
              <w:top w:val="single" w:color="auto" w:sz="4" w:space="0"/>
              <w:bottom w:val="single" w:color="auto" w:sz="4" w:space="0"/>
            </w:tcBorders>
            <w:shd w:val="clear" w:color="auto" w:fill="E6E6E6"/>
            <w:vAlign w:val="center"/>
          </w:tcPr>
          <w:p>
            <w:r>
              <w:rPr>
                <w:rFonts w:hint="eastAsia"/>
              </w:rPr>
              <w:t>反射比材料设计取值</w:t>
            </w:r>
          </w:p>
        </w:tc>
        <w:tc>
          <w:tcPr>
            <w:tcW w:w="3531" w:type="dxa"/>
            <w:tcBorders>
              <w:top w:val="single" w:color="auto" w:sz="4" w:space="0"/>
              <w:bottom w:val="single" w:color="auto" w:sz="4" w:space="0"/>
            </w:tcBorders>
            <w:shd w:val="clear" w:color="auto" w:fill="E6E6E6"/>
            <w:vAlign w:val="center"/>
          </w:tcPr>
          <w:p>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顶棚</w:t>
            </w:r>
          </w:p>
        </w:tc>
        <w:tc>
          <w:tcPr>
            <w:tcW w:w="3464" w:type="dxa"/>
            <w:tcBorders>
              <w:top w:val="single" w:color="auto" w:sz="4" w:space="0"/>
            </w:tcBorders>
            <w:shd w:val="clear" w:color="auto" w:fill="auto"/>
            <w:vAlign w:val="center"/>
          </w:tcPr>
          <w:p>
            <w:bookmarkStart w:id="43" w:name="顶棚反射比"/>
            <w:r>
              <w:t>0.75</w:t>
            </w:r>
            <w:bookmarkEnd w:id="43"/>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地面</w:t>
            </w:r>
          </w:p>
        </w:tc>
        <w:tc>
          <w:tcPr>
            <w:tcW w:w="3464" w:type="dxa"/>
            <w:tcBorders>
              <w:top w:val="single" w:color="auto" w:sz="4" w:space="0"/>
            </w:tcBorders>
            <w:shd w:val="clear" w:color="auto" w:fill="auto"/>
            <w:vAlign w:val="center"/>
          </w:tcPr>
          <w:p>
            <w:bookmarkStart w:id="44" w:name="地面反射比"/>
            <w:r>
              <w:t>0.30</w:t>
            </w:r>
            <w:bookmarkEnd w:id="44"/>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墙面</w:t>
            </w:r>
          </w:p>
        </w:tc>
        <w:tc>
          <w:tcPr>
            <w:tcW w:w="3464" w:type="dxa"/>
            <w:tcBorders>
              <w:top w:val="single" w:color="auto" w:sz="4" w:space="0"/>
            </w:tcBorders>
            <w:shd w:val="clear" w:color="auto" w:fill="auto"/>
            <w:vAlign w:val="center"/>
          </w:tcPr>
          <w:p>
            <w:bookmarkStart w:id="45" w:name="墙面反射比"/>
            <w:r>
              <w:t>0.60</w:t>
            </w:r>
            <w:bookmarkEnd w:id="45"/>
          </w:p>
        </w:tc>
        <w:tc>
          <w:tcPr>
            <w:tcW w:w="3531" w:type="dxa"/>
            <w:tcBorders>
              <w:top w:val="single" w:color="auto" w:sz="4" w:space="0"/>
            </w:tcBorders>
            <w:shd w:val="clear" w:color="auto" w:fill="auto"/>
            <w:vAlign w:val="center"/>
          </w:tc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224" w:type="dxa"/>
            <w:tcBorders>
              <w:top w:val="single" w:color="auto" w:sz="4" w:space="0"/>
            </w:tcBorders>
            <w:shd w:val="clear" w:color="auto" w:fill="auto"/>
            <w:vAlign w:val="center"/>
          </w:tcPr>
          <w:p>
            <w:pPr>
              <w:rPr>
                <w:szCs w:val="18"/>
              </w:rPr>
            </w:pPr>
            <w:r>
              <w:rPr>
                <w:rFonts w:hint="eastAsia"/>
                <w:szCs w:val="18"/>
              </w:rPr>
              <w:t>外表面</w:t>
            </w:r>
          </w:p>
        </w:tc>
        <w:tc>
          <w:tcPr>
            <w:tcW w:w="3464" w:type="dxa"/>
            <w:tcBorders>
              <w:top w:val="single" w:color="auto" w:sz="4" w:space="0"/>
            </w:tcBorders>
            <w:shd w:val="clear" w:color="auto" w:fill="auto"/>
            <w:vAlign w:val="center"/>
          </w:tcPr>
          <w:p>
            <w:bookmarkStart w:id="46" w:name="外表面反射比"/>
            <w:r>
              <w:t>0.50</w:t>
            </w:r>
            <w:bookmarkEnd w:id="46"/>
          </w:p>
        </w:tc>
        <w:tc>
          <w:tcPr>
            <w:tcW w:w="3531" w:type="dxa"/>
            <w:tcBorders>
              <w:top w:val="single" w:color="auto" w:sz="4" w:space="0"/>
            </w:tcBorders>
            <w:shd w:val="clear" w:color="auto" w:fill="auto"/>
            <w:vAlign w:val="center"/>
          </w:tcPr>
          <w:p/>
        </w:tc>
      </w:tr>
    </w:tbl>
    <w:p>
      <w:pPr>
        <w:pStyle w:val="14"/>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4"/>
      </w:pPr>
      <w:bookmarkStart w:id="47" w:name="_Toc422822724"/>
      <w:r>
        <w:rPr>
          <w:rFonts w:hint="eastAsia"/>
        </w:rPr>
        <w:t>门窗类型参数</w:t>
      </w:r>
      <w:bookmarkEnd w:id="47"/>
    </w:p>
    <w:p>
      <w:pPr>
        <w:pStyle w:val="3"/>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3"/>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ind w:firstLine="420" w:firstLineChars="200"/>
        <w:rPr>
          <w:lang w:val="en-US"/>
        </w:rPr>
      </w:pPr>
    </w:p>
    <w:p>
      <w:pPr>
        <w:pStyle w:val="3"/>
        <w:ind w:firstLine="0" w:firstLineChars="0"/>
        <w:rPr>
          <w:sz w:val="18"/>
          <w:szCs w:val="18"/>
          <w:lang w:val="en-US"/>
        </w:rPr>
      </w:pPr>
    </w:p>
    <w:p>
      <w:pPr>
        <w:pStyle w:val="5"/>
      </w:pPr>
      <w:bookmarkStart w:id="48" w:name="窗"/>
      <w:r>
        <w:t>普通</w:t>
      </w:r>
      <w:r>
        <w:rPr>
          <w:rFonts w:hint="eastAsia"/>
        </w:rPr>
        <w:t>窗</w:t>
      </w:r>
    </w:p>
    <w:bookmarkEnd w:id="48"/>
    <w:p>
      <w:pPr>
        <w:pStyle w:val="5"/>
      </w:pPr>
      <w:bookmarkStart w:id="49" w:name="_Toc123573698"/>
      <w:r>
        <w:rPr>
          <w:rFonts w:hint="eastAsia"/>
        </w:rPr>
        <w:t>普通窗</w:t>
      </w:r>
      <w:bookmarkEnd w:id="49"/>
    </w:p>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3"/>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Before w:val="1"/>
          <w:wBefore w:w="0" w:type="dxa"/>
        </w:trPr>
        <w:tc>
          <w:tcPr>
            <w:tcW w:w="1358" w:type="dxa"/>
            <w:shd w:val="clear" w:color="auto" w:fill="E6E6E6"/>
            <w:noWrap w:val="0"/>
            <w:vAlign w:val="center"/>
          </w:tcPr>
          <w:p>
            <w:r>
              <w:t>门窗编号</w:t>
            </w:r>
          </w:p>
        </w:tc>
        <w:tc>
          <w:tcPr>
            <w:tcW w:w="1245" w:type="dxa"/>
            <w:shd w:val="clear" w:color="auto" w:fill="E6E6E6"/>
            <w:noWrap w:val="0"/>
            <w:vAlign w:val="center"/>
          </w:tcPr>
          <w:p>
            <w:r>
              <w:t>宽度(mm)</w:t>
            </w:r>
          </w:p>
        </w:tc>
        <w:tc>
          <w:tcPr>
            <w:tcW w:w="1245" w:type="dxa"/>
            <w:shd w:val="clear" w:color="auto" w:fill="E6E6E6"/>
            <w:noWrap w:val="0"/>
            <w:vAlign w:val="center"/>
          </w:tcPr>
          <w:p>
            <w:r>
              <w:t>高度(mm)</w:t>
            </w:r>
          </w:p>
        </w:tc>
        <w:tc>
          <w:tcPr>
            <w:tcW w:w="1301" w:type="dxa"/>
            <w:shd w:val="clear" w:color="auto" w:fill="E6E6E6"/>
            <w:noWrap w:val="0"/>
            <w:vAlign w:val="center"/>
          </w:tcPr>
          <w:p>
            <w:r>
              <w:t>窗框类型</w:t>
            </w:r>
          </w:p>
        </w:tc>
        <w:tc>
          <w:tcPr>
            <w:tcW w:w="1301" w:type="dxa"/>
            <w:shd w:val="clear" w:color="auto" w:fill="E6E6E6"/>
            <w:noWrap w:val="0"/>
            <w:vAlign w:val="center"/>
          </w:tcPr>
          <w:p>
            <w:r>
              <w:t>玻璃类型</w:t>
            </w:r>
          </w:p>
        </w:tc>
        <w:tc>
          <w:tcPr>
            <w:tcW w:w="1516" w:type="dxa"/>
            <w:shd w:val="clear" w:color="auto" w:fill="E6E6E6"/>
            <w:noWrap w:val="0"/>
            <w:vAlign w:val="center"/>
          </w:tcPr>
          <w:p>
            <w:r>
              <w:t>可见光透射比</w:t>
            </w:r>
          </w:p>
        </w:tc>
        <w:tc>
          <w:tcPr>
            <w:tcW w:w="1358" w:type="dxa"/>
            <w:shd w:val="clear" w:color="auto" w:fill="E6E6E6"/>
            <w:noWrap w:val="0"/>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C0922</w:t>
            </w:r>
          </w:p>
        </w:tc>
        <w:tc>
          <w:tcPr>
            <w:tcW w:w="1245" w:type="dxa"/>
            <w:noWrap w:val="0"/>
            <w:vAlign w:val="center"/>
          </w:tcPr>
          <w:p>
            <w:r>
              <w:t>900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透明亚克力</w:t>
            </w:r>
          </w:p>
        </w:tc>
        <w:tc>
          <w:tcPr>
            <w:tcW w:w="1516" w:type="dxa"/>
            <w:noWrap w:val="0"/>
            <w:vAlign w:val="center"/>
          </w:tcPr>
          <w:p>
            <w:r>
              <w:t>0.92</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C0926</w:t>
            </w:r>
          </w:p>
        </w:tc>
        <w:tc>
          <w:tcPr>
            <w:tcW w:w="1245" w:type="dxa"/>
            <w:noWrap w:val="0"/>
            <w:vAlign w:val="center"/>
          </w:tcPr>
          <w:p>
            <w:r>
              <w:t>900</w:t>
            </w:r>
          </w:p>
        </w:tc>
        <w:tc>
          <w:tcPr>
            <w:tcW w:w="1245" w:type="dxa"/>
            <w:noWrap w:val="0"/>
            <w:vAlign w:val="center"/>
          </w:tcPr>
          <w:p>
            <w:r>
              <w:t>2600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C1122</w:t>
            </w:r>
          </w:p>
        </w:tc>
        <w:tc>
          <w:tcPr>
            <w:tcW w:w="1245" w:type="dxa"/>
            <w:noWrap w:val="0"/>
            <w:vAlign w:val="center"/>
          </w:tcPr>
          <w:p>
            <w:r>
              <w:t>1100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C1220</w:t>
            </w:r>
          </w:p>
        </w:tc>
        <w:tc>
          <w:tcPr>
            <w:tcW w:w="1245" w:type="dxa"/>
            <w:noWrap w:val="0"/>
            <w:vAlign w:val="center"/>
          </w:tcPr>
          <w:p>
            <w:r>
              <w:t>1200</w:t>
            </w:r>
          </w:p>
        </w:tc>
        <w:tc>
          <w:tcPr>
            <w:tcW w:w="1245" w:type="dxa"/>
            <w:noWrap w:val="0"/>
            <w:vAlign w:val="center"/>
          </w:tcPr>
          <w:p>
            <w:r>
              <w:t>2000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C1620</w:t>
            </w:r>
          </w:p>
        </w:tc>
        <w:tc>
          <w:tcPr>
            <w:tcW w:w="1245" w:type="dxa"/>
            <w:noWrap w:val="0"/>
            <w:vAlign w:val="center"/>
          </w:tcPr>
          <w:p>
            <w:r>
              <w:t>1600</w:t>
            </w:r>
          </w:p>
        </w:tc>
        <w:tc>
          <w:tcPr>
            <w:tcW w:w="1245" w:type="dxa"/>
            <w:noWrap w:val="0"/>
            <w:vAlign w:val="center"/>
          </w:tcPr>
          <w:p>
            <w:r>
              <w:t>2000</w:t>
            </w:r>
          </w:p>
        </w:tc>
        <w:tc>
          <w:tcPr>
            <w:tcW w:w="1301" w:type="dxa"/>
            <w:noWrap w:val="0"/>
            <w:vAlign w:val="center"/>
          </w:tcPr>
          <w:p>
            <w:r>
              <w:t>单层钢窗</w:t>
            </w:r>
          </w:p>
        </w:tc>
        <w:tc>
          <w:tcPr>
            <w:tcW w:w="1301" w:type="dxa"/>
            <w:noWrap w:val="0"/>
            <w:vAlign w:val="center"/>
          </w:tcPr>
          <w:p>
            <w:r>
              <w:t>透明亚克力</w:t>
            </w:r>
          </w:p>
        </w:tc>
        <w:tc>
          <w:tcPr>
            <w:tcW w:w="1516" w:type="dxa"/>
            <w:noWrap w:val="0"/>
            <w:vAlign w:val="center"/>
          </w:tcPr>
          <w:p>
            <w:r>
              <w:t>0.92</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C1622</w:t>
            </w:r>
          </w:p>
        </w:tc>
        <w:tc>
          <w:tcPr>
            <w:tcW w:w="1245" w:type="dxa"/>
            <w:noWrap w:val="0"/>
            <w:vAlign w:val="center"/>
          </w:tcPr>
          <w:p>
            <w:r>
              <w:t>1600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C1822</w:t>
            </w:r>
          </w:p>
        </w:tc>
        <w:tc>
          <w:tcPr>
            <w:tcW w:w="1245" w:type="dxa"/>
            <w:noWrap w:val="0"/>
            <w:vAlign w:val="center"/>
          </w:tcPr>
          <w:p>
            <w:r>
              <w:t>1800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C1826</w:t>
            </w:r>
          </w:p>
        </w:tc>
        <w:tc>
          <w:tcPr>
            <w:tcW w:w="1245" w:type="dxa"/>
            <w:noWrap w:val="0"/>
            <w:vAlign w:val="center"/>
          </w:tcPr>
          <w:p>
            <w:r>
              <w:t>1800</w:t>
            </w:r>
          </w:p>
        </w:tc>
        <w:tc>
          <w:tcPr>
            <w:tcW w:w="1245" w:type="dxa"/>
            <w:noWrap w:val="0"/>
            <w:vAlign w:val="center"/>
          </w:tcPr>
          <w:p>
            <w:r>
              <w:t>2600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C2020</w:t>
            </w:r>
          </w:p>
        </w:tc>
        <w:tc>
          <w:tcPr>
            <w:tcW w:w="1245" w:type="dxa"/>
            <w:noWrap w:val="0"/>
            <w:vAlign w:val="center"/>
          </w:tcPr>
          <w:p>
            <w:r>
              <w:t>2000</w:t>
            </w:r>
          </w:p>
        </w:tc>
        <w:tc>
          <w:tcPr>
            <w:tcW w:w="1245" w:type="dxa"/>
            <w:noWrap w:val="0"/>
            <w:vAlign w:val="center"/>
          </w:tcPr>
          <w:p>
            <w:r>
              <w:t>2000</w:t>
            </w:r>
          </w:p>
        </w:tc>
        <w:tc>
          <w:tcPr>
            <w:tcW w:w="1301" w:type="dxa"/>
            <w:noWrap w:val="0"/>
            <w:vAlign w:val="center"/>
          </w:tcPr>
          <w:p>
            <w:r>
              <w:t>单层钢窗</w:t>
            </w:r>
          </w:p>
        </w:tc>
        <w:tc>
          <w:tcPr>
            <w:tcW w:w="1301" w:type="dxa"/>
            <w:noWrap w:val="0"/>
            <w:vAlign w:val="center"/>
          </w:tcPr>
          <w:p>
            <w:r>
              <w:t>透明亚克力</w:t>
            </w:r>
          </w:p>
        </w:tc>
        <w:tc>
          <w:tcPr>
            <w:tcW w:w="1516" w:type="dxa"/>
            <w:noWrap w:val="0"/>
            <w:vAlign w:val="center"/>
          </w:tcPr>
          <w:p>
            <w:r>
              <w:t>0.92</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C2022</w:t>
            </w:r>
          </w:p>
        </w:tc>
        <w:tc>
          <w:tcPr>
            <w:tcW w:w="1245" w:type="dxa"/>
            <w:noWrap w:val="0"/>
            <w:vAlign w:val="center"/>
          </w:tcPr>
          <w:p>
            <w:r>
              <w:t>2000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C2026</w:t>
            </w:r>
          </w:p>
        </w:tc>
        <w:tc>
          <w:tcPr>
            <w:tcW w:w="1245" w:type="dxa"/>
            <w:noWrap w:val="0"/>
            <w:vAlign w:val="center"/>
          </w:tcPr>
          <w:p>
            <w:r>
              <w:t>2000</w:t>
            </w:r>
          </w:p>
        </w:tc>
        <w:tc>
          <w:tcPr>
            <w:tcW w:w="1245" w:type="dxa"/>
            <w:noWrap w:val="0"/>
            <w:vAlign w:val="center"/>
          </w:tcPr>
          <w:p>
            <w:r>
              <w:t>2600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C2122</w:t>
            </w:r>
          </w:p>
        </w:tc>
        <w:tc>
          <w:tcPr>
            <w:tcW w:w="1245" w:type="dxa"/>
            <w:noWrap w:val="0"/>
            <w:vAlign w:val="center"/>
          </w:tcPr>
          <w:p>
            <w:r>
              <w:t>2100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C2222</w:t>
            </w:r>
          </w:p>
        </w:tc>
        <w:tc>
          <w:tcPr>
            <w:tcW w:w="1245" w:type="dxa"/>
            <w:noWrap w:val="0"/>
            <w:vAlign w:val="center"/>
          </w:tcPr>
          <w:p>
            <w:r>
              <w:t>2200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C2322</w:t>
            </w:r>
          </w:p>
        </w:tc>
        <w:tc>
          <w:tcPr>
            <w:tcW w:w="1245" w:type="dxa"/>
            <w:noWrap w:val="0"/>
            <w:vAlign w:val="center"/>
          </w:tcPr>
          <w:p>
            <w:r>
              <w:t>2300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C2420</w:t>
            </w:r>
          </w:p>
        </w:tc>
        <w:tc>
          <w:tcPr>
            <w:tcW w:w="1245" w:type="dxa"/>
            <w:noWrap w:val="0"/>
            <w:vAlign w:val="center"/>
          </w:tcPr>
          <w:p>
            <w:r>
              <w:t>2400</w:t>
            </w:r>
          </w:p>
        </w:tc>
        <w:tc>
          <w:tcPr>
            <w:tcW w:w="1245" w:type="dxa"/>
            <w:noWrap w:val="0"/>
            <w:vAlign w:val="center"/>
          </w:tcPr>
          <w:p>
            <w:r>
              <w:t>2000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C2622</w:t>
            </w:r>
          </w:p>
        </w:tc>
        <w:tc>
          <w:tcPr>
            <w:tcW w:w="1245" w:type="dxa"/>
            <w:noWrap w:val="0"/>
            <w:vAlign w:val="center"/>
          </w:tcPr>
          <w:p>
            <w:r>
              <w:t>2600</w:t>
            </w:r>
          </w:p>
        </w:tc>
        <w:tc>
          <w:tcPr>
            <w:tcW w:w="1245" w:type="dxa"/>
            <w:noWrap w:val="0"/>
            <w:vAlign w:val="center"/>
          </w:tcPr>
          <w:p>
            <w:r>
              <w:t>2200</w:t>
            </w:r>
          </w:p>
        </w:tc>
        <w:tc>
          <w:tcPr>
            <w:tcW w:w="1301" w:type="dxa"/>
            <w:noWrap w:val="0"/>
            <w:vAlign w:val="center"/>
          </w:tcPr>
          <w:p>
            <w:r>
              <w:t>单层钢窗</w:t>
            </w:r>
          </w:p>
        </w:tc>
        <w:tc>
          <w:tcPr>
            <w:tcW w:w="1301" w:type="dxa"/>
            <w:noWrap w:val="0"/>
            <w:vAlign w:val="center"/>
          </w:tcPr>
          <w:p>
            <w:r>
              <w:t>透明亚克力</w:t>
            </w:r>
          </w:p>
        </w:tc>
        <w:tc>
          <w:tcPr>
            <w:tcW w:w="1516" w:type="dxa"/>
            <w:noWrap w:val="0"/>
            <w:vAlign w:val="center"/>
          </w:tcPr>
          <w:p>
            <w:r>
              <w:t>0.92</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C2722</w:t>
            </w:r>
          </w:p>
        </w:tc>
        <w:tc>
          <w:tcPr>
            <w:tcW w:w="1245" w:type="dxa"/>
            <w:noWrap w:val="0"/>
            <w:vAlign w:val="center"/>
          </w:tcPr>
          <w:p>
            <w:r>
              <w:t>2700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C2723</w:t>
            </w:r>
          </w:p>
        </w:tc>
        <w:tc>
          <w:tcPr>
            <w:tcW w:w="1245" w:type="dxa"/>
            <w:noWrap w:val="0"/>
            <w:vAlign w:val="center"/>
          </w:tcPr>
          <w:p>
            <w:r>
              <w:t>2700</w:t>
            </w:r>
          </w:p>
        </w:tc>
        <w:tc>
          <w:tcPr>
            <w:tcW w:w="1245" w:type="dxa"/>
            <w:noWrap w:val="0"/>
            <w:vAlign w:val="center"/>
          </w:tcPr>
          <w:p>
            <w:r>
              <w:t>2300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r>
              <w:t>C2822</w:t>
            </w:r>
          </w:p>
        </w:tc>
        <w:tc>
          <w:tcPr>
            <w:tcW w:w="1245" w:type="dxa"/>
            <w:noWrap w:val="0"/>
            <w:vAlign w:val="center"/>
          </w:tcPr>
          <w:p>
            <w:r>
              <w:t>2800</w:t>
            </w:r>
          </w:p>
        </w:tc>
        <w:tc>
          <w:tcPr>
            <w:tcW w:w="1245" w:type="dxa"/>
            <w:noWrap w:val="0"/>
            <w:vAlign w:val="center"/>
          </w:tcPr>
          <w:p>
            <w:r>
              <w:t>2200</w:t>
            </w:r>
          </w:p>
        </w:tc>
        <w:tc>
          <w:tcPr>
            <w:tcW w:w="1301" w:type="dxa"/>
            <w:noWrap w:val="0"/>
            <w:vAlign w:val="center"/>
          </w:tcPr>
          <w:p>
            <w:r>
              <w:t>单层铝窗</w:t>
            </w:r>
          </w:p>
        </w:tc>
        <w:tc>
          <w:tcPr>
            <w:tcW w:w="1301" w:type="dxa"/>
            <w:noWrap w:val="0"/>
            <w:vAlign w:val="center"/>
          </w:tcPr>
          <w:p>
            <w:r>
              <w:t>普通玻璃</w:t>
            </w:r>
          </w:p>
        </w:tc>
        <w:tc>
          <w:tcPr>
            <w:tcW w:w="1516" w:type="dxa"/>
            <w:noWrap w:val="0"/>
            <w:vAlign w:val="center"/>
          </w:tcPr>
          <w:p>
            <w:r>
              <w:t>0.89</w:t>
            </w:r>
          </w:p>
        </w:tc>
        <w:tc>
          <w:tcPr>
            <w:tcW w:w="1358" w:type="dxa"/>
            <w:noWrap w:val="0"/>
            <w:vAlign w:val="center"/>
          </w:tcPr>
          <w:p>
            <w:r>
              <w:t>0.08</w:t>
            </w:r>
          </w:p>
        </w:tc>
      </w:tr>
    </w:tbl>
    <w:p>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5"/>
      </w:pPr>
      <w:bookmarkStart w:id="50" w:name="_Toc422822726"/>
      <w:bookmarkStart w:id="51" w:name="幕墙"/>
      <w:r>
        <w:rPr>
          <w:rFonts w:hint="eastAsia"/>
        </w:rPr>
        <w:t>玻璃幕墙</w:t>
      </w:r>
      <w:bookmarkEnd w:id="50"/>
    </w:p>
    <w:bookmarkEnd w:id="51"/>
    <w:tbl>
      <w:tblPr>
        <w:tblStyle w:val="22"/>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3"/>
        <w:gridCol w:w="1359"/>
        <w:gridCol w:w="1246"/>
        <w:gridCol w:w="1246"/>
        <w:gridCol w:w="1301"/>
        <w:gridCol w:w="1301"/>
        <w:gridCol w:w="1516"/>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Before w:val="1"/>
          <w:wBefore w:w="0" w:type="dxa"/>
        </w:trPr>
        <w:tc>
          <w:tcPr>
            <w:tcW w:w="1358" w:type="dxa"/>
            <w:shd w:val="clear" w:color="auto" w:fill="E6E6E6"/>
            <w:noWrap w:val="0"/>
            <w:vAlign w:val="center"/>
          </w:tcPr>
          <w:p>
            <w:r>
              <w:t>门窗编号</w:t>
            </w:r>
          </w:p>
        </w:tc>
        <w:tc>
          <w:tcPr>
            <w:tcW w:w="1245" w:type="dxa"/>
            <w:shd w:val="clear" w:color="auto" w:fill="E6E6E6"/>
            <w:noWrap w:val="0"/>
            <w:vAlign w:val="center"/>
          </w:tcPr>
          <w:p>
            <w:r>
              <w:t>宽度(mm)</w:t>
            </w:r>
          </w:p>
        </w:tc>
        <w:tc>
          <w:tcPr>
            <w:tcW w:w="1245" w:type="dxa"/>
            <w:shd w:val="clear" w:color="auto" w:fill="E6E6E6"/>
            <w:noWrap w:val="0"/>
            <w:vAlign w:val="center"/>
          </w:tcPr>
          <w:p>
            <w:r>
              <w:t>高度(mm)</w:t>
            </w:r>
          </w:p>
        </w:tc>
        <w:tc>
          <w:tcPr>
            <w:tcW w:w="1301" w:type="dxa"/>
            <w:shd w:val="clear" w:color="auto" w:fill="E6E6E6"/>
            <w:noWrap w:val="0"/>
            <w:vAlign w:val="center"/>
          </w:tcPr>
          <w:p>
            <w:r>
              <w:t>窗框类型</w:t>
            </w:r>
          </w:p>
        </w:tc>
        <w:tc>
          <w:tcPr>
            <w:tcW w:w="1301" w:type="dxa"/>
            <w:shd w:val="clear" w:color="auto" w:fill="E6E6E6"/>
            <w:noWrap w:val="0"/>
            <w:vAlign w:val="center"/>
          </w:tcPr>
          <w:p>
            <w:r>
              <w:t>玻璃类型</w:t>
            </w:r>
          </w:p>
        </w:tc>
        <w:tc>
          <w:tcPr>
            <w:tcW w:w="1516" w:type="dxa"/>
            <w:shd w:val="clear" w:color="auto" w:fill="E6E6E6"/>
            <w:noWrap w:val="0"/>
            <w:vAlign w:val="center"/>
          </w:tcPr>
          <w:p>
            <w:r>
              <w:t>可见光透射比</w:t>
            </w:r>
          </w:p>
        </w:tc>
        <w:tc>
          <w:tcPr>
            <w:tcW w:w="1358" w:type="dxa"/>
            <w:shd w:val="clear" w:color="auto" w:fill="E6E6E6"/>
            <w:noWrap w:val="0"/>
            <w:vAlign w:val="center"/>
          </w:tcPr>
          <w:p>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58" w:type="dxa"/>
            <w:gridSpan w:val="2"/>
            <w:noWrap w:val="0"/>
            <w:vAlign w:val="center"/>
          </w:tcPr>
          <w:p/>
        </w:tc>
        <w:tc>
          <w:tcPr>
            <w:tcW w:w="1245" w:type="dxa"/>
            <w:noWrap w:val="0"/>
            <w:vAlign w:val="center"/>
          </w:tcPr>
          <w:p>
            <w:r>
              <w:t>5800</w:t>
            </w:r>
          </w:p>
        </w:tc>
        <w:tc>
          <w:tcPr>
            <w:tcW w:w="1245" w:type="dxa"/>
            <w:noWrap w:val="0"/>
            <w:vAlign w:val="center"/>
          </w:tcPr>
          <w:p>
            <w:r>
              <w:t>4100</w:t>
            </w:r>
          </w:p>
        </w:tc>
        <w:tc>
          <w:tcPr>
            <w:tcW w:w="1301" w:type="dxa"/>
            <w:noWrap w:val="0"/>
            <w:vAlign w:val="center"/>
          </w:tcPr>
          <w:p>
            <w:r>
              <w:t>单层铝窗</w:t>
            </w:r>
          </w:p>
        </w:tc>
        <w:tc>
          <w:tcPr>
            <w:tcW w:w="1301" w:type="dxa"/>
            <w:noWrap w:val="0"/>
            <w:vAlign w:val="center"/>
          </w:tcPr>
          <w:p>
            <w:r>
              <w:t>遮阳Low-E</w:t>
            </w:r>
          </w:p>
        </w:tc>
        <w:tc>
          <w:tcPr>
            <w:tcW w:w="1516" w:type="dxa"/>
            <w:noWrap w:val="0"/>
            <w:vAlign w:val="center"/>
          </w:tcPr>
          <w:p>
            <w:r>
              <w:t>0.65</w:t>
            </w:r>
          </w:p>
        </w:tc>
        <w:tc>
          <w:tcPr>
            <w:tcW w:w="1358" w:type="dxa"/>
            <w:noWrap w:val="0"/>
            <w:vAlign w:val="center"/>
          </w:tcPr>
          <w:p>
            <w:r>
              <w:t>0.08</w:t>
            </w:r>
          </w:p>
        </w:tc>
      </w:tr>
    </w:tbl>
    <w:p>
      <w:pPr>
        <w:pStyle w:val="3"/>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p>
    <w:p>
      <w:pPr>
        <w:pStyle w:val="3"/>
        <w:ind w:firstLine="0" w:firstLineChars="0"/>
        <w:rPr>
          <w:rFonts w:ascii="宋体" w:hAnsi="宋体"/>
          <w:sz w:val="18"/>
          <w:szCs w:val="18"/>
          <w:lang w:val="en-US"/>
        </w:rPr>
      </w:pPr>
      <w:bookmarkStart w:id="52" w:name="窗污染折减系数"/>
      <w:bookmarkEnd w:id="52"/>
    </w:p>
    <w:p>
      <w:pPr>
        <w:pStyle w:val="2"/>
      </w:pPr>
      <w:bookmarkStart w:id="53" w:name="_Toc422822729"/>
      <w:r>
        <w:rPr>
          <w:rFonts w:hint="eastAsia"/>
        </w:rPr>
        <w:t>分析统计结果</w:t>
      </w:r>
      <w:bookmarkEnd w:id="53"/>
    </w:p>
    <w:p>
      <w:pPr>
        <w:pStyle w:val="3"/>
        <w:ind w:firstLine="420"/>
        <w:rPr>
          <w:lang w:val="en-US"/>
        </w:rPr>
      </w:pPr>
      <w:r>
        <w:rPr>
          <w:rFonts w:hint="eastAsia"/>
          <w:lang w:val="en-US"/>
        </w:rPr>
        <w:t>通过对项目中内区主要功能房间采光系数的计算，求得</w:t>
      </w:r>
      <w:r>
        <w:rPr>
          <w:rFonts w:hint="eastAsia"/>
        </w:rPr>
        <w:t>内区中各个主要功能房间的达标面积，统计全部达标面积除以建筑内区主要功能房间的总面积，最终得到建筑内区采光</w:t>
      </w:r>
      <w:r>
        <w:t>面积达标比例</w:t>
      </w:r>
      <w:r>
        <w:rPr>
          <w:rFonts w:hint="eastAsia"/>
        </w:rPr>
        <w:t>，如下表所示：</w:t>
      </w:r>
    </w:p>
    <w:tbl>
      <w:tblPr>
        <w:tblStyle w:val="22"/>
        <w:tblW w:w="9327"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94"/>
        <w:gridCol w:w="820"/>
        <w:gridCol w:w="1076"/>
        <w:gridCol w:w="1076"/>
        <w:gridCol w:w="735"/>
        <w:gridCol w:w="735"/>
        <w:gridCol w:w="905"/>
        <w:gridCol w:w="1076"/>
        <w:gridCol w:w="1302"/>
        <w:gridCol w:w="10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shd w:val="clear" w:color="auto" w:fill="E6E6E6"/>
            <w:noWrap w:val="0"/>
            <w:vAlign w:val="center"/>
          </w:tcPr>
          <w:p>
            <w:bookmarkStart w:id="54" w:name="达标率表格"/>
            <w:bookmarkEnd w:id="54"/>
            <w:r>
              <w:t>楼层</w:t>
            </w:r>
          </w:p>
        </w:tc>
        <w:tc>
          <w:tcPr>
            <w:tcW w:w="820" w:type="dxa"/>
            <w:shd w:val="clear" w:color="auto" w:fill="E6E6E6"/>
            <w:noWrap w:val="0"/>
            <w:vAlign w:val="center"/>
          </w:tcPr>
          <w:p>
            <w:r>
              <w:t>户型</w:t>
            </w:r>
          </w:p>
        </w:tc>
        <w:tc>
          <w:tcPr>
            <w:tcW w:w="1075" w:type="dxa"/>
            <w:shd w:val="clear" w:color="auto" w:fill="E6E6E6"/>
            <w:noWrap w:val="0"/>
            <w:vAlign w:val="center"/>
          </w:tcPr>
          <w:p>
            <w:r>
              <w:t>房间编号</w:t>
            </w:r>
          </w:p>
        </w:tc>
        <w:tc>
          <w:tcPr>
            <w:tcW w:w="1075" w:type="dxa"/>
            <w:shd w:val="clear" w:color="auto" w:fill="E6E6E6"/>
            <w:noWrap w:val="0"/>
            <w:vAlign w:val="center"/>
          </w:tcPr>
          <w:p>
            <w:r>
              <w:t>房间类型</w:t>
            </w:r>
          </w:p>
        </w:tc>
        <w:tc>
          <w:tcPr>
            <w:tcW w:w="735" w:type="dxa"/>
            <w:shd w:val="clear" w:color="auto" w:fill="E6E6E6"/>
            <w:noWrap w:val="0"/>
            <w:vAlign w:val="center"/>
          </w:tcPr>
          <w:p>
            <w:r>
              <w:t>采光等级</w:t>
            </w:r>
          </w:p>
        </w:tc>
        <w:tc>
          <w:tcPr>
            <w:tcW w:w="735" w:type="dxa"/>
            <w:shd w:val="clear" w:color="auto" w:fill="E6E6E6"/>
            <w:noWrap w:val="0"/>
            <w:vAlign w:val="center"/>
          </w:tcPr>
          <w:p>
            <w:r>
              <w:t>采光类型</w:t>
            </w:r>
          </w:p>
        </w:tc>
        <w:tc>
          <w:tcPr>
            <w:tcW w:w="905" w:type="dxa"/>
            <w:shd w:val="clear" w:color="auto" w:fill="E6E6E6"/>
            <w:noWrap w:val="0"/>
            <w:vAlign w:val="center"/>
          </w:tcPr>
          <w:p>
            <w:r>
              <w:t>房间</w:t>
            </w:r>
            <w:r>
              <w:br w:type="textWrapping"/>
            </w:r>
            <w:r>
              <w:t>面积</w:t>
            </w:r>
          </w:p>
        </w:tc>
        <w:tc>
          <w:tcPr>
            <w:tcW w:w="1075" w:type="dxa"/>
            <w:shd w:val="clear" w:color="auto" w:fill="E6E6E6"/>
            <w:noWrap w:val="0"/>
            <w:vAlign w:val="center"/>
          </w:tcPr>
          <w:p>
            <w:r>
              <w:t>采光系数C(%)</w:t>
            </w:r>
          </w:p>
        </w:tc>
        <w:tc>
          <w:tcPr>
            <w:tcW w:w="1301" w:type="dxa"/>
            <w:shd w:val="clear" w:color="auto" w:fill="E6E6E6"/>
            <w:noWrap w:val="0"/>
            <w:vAlign w:val="center"/>
          </w:tcPr>
          <w:p>
            <w:r>
              <w:t>采光系数</w:t>
            </w:r>
            <w:r>
              <w:br w:type="textWrapping"/>
            </w:r>
            <w:r>
              <w:t>标准值(%)</w:t>
            </w:r>
          </w:p>
        </w:tc>
        <w:tc>
          <w:tcPr>
            <w:tcW w:w="1007" w:type="dxa"/>
            <w:shd w:val="clear" w:color="auto" w:fill="E6E6E6"/>
            <w:noWrap w:val="0"/>
            <w:vAlign w:val="center"/>
          </w:tcPr>
          <w:p>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303" w:hRule="atLeast"/>
        </w:trPr>
        <w:tc>
          <w:tcPr>
            <w:tcW w:w="594" w:type="dxa"/>
            <w:noWrap w:val="0"/>
            <w:vAlign w:val="center"/>
          </w:tcPr>
          <w:p>
            <w:r>
              <w:t>-1</w:t>
            </w:r>
          </w:p>
        </w:tc>
        <w:tc>
          <w:tcPr>
            <w:tcW w:w="820" w:type="dxa"/>
            <w:noWrap w:val="0"/>
            <w:vAlign w:val="center"/>
          </w:tcPr>
          <w:p>
            <w:r>
              <w:t>--</w:t>
            </w:r>
          </w:p>
        </w:tc>
        <w:tc>
          <w:tcPr>
            <w:tcW w:w="1075" w:type="dxa"/>
            <w:noWrap w:val="0"/>
            <w:vAlign w:val="center"/>
          </w:tcPr>
          <w:p>
            <w:r>
              <w:t>-1019</w:t>
            </w:r>
          </w:p>
        </w:tc>
        <w:tc>
          <w:tcPr>
            <w:tcW w:w="1075" w:type="dxa"/>
            <w:noWrap w:val="0"/>
            <w:vAlign w:val="center"/>
          </w:tcPr>
          <w:p>
            <w:r>
              <w:t>阶梯教室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1163.65</w:t>
            </w:r>
          </w:p>
        </w:tc>
        <w:tc>
          <w:tcPr>
            <w:tcW w:w="1075" w:type="dxa"/>
            <w:noWrap w:val="0"/>
            <w:vAlign w:val="center"/>
          </w:tcPr>
          <w:p>
            <w:r>
              <w:t>0.07</w:t>
            </w:r>
          </w:p>
        </w:tc>
        <w:tc>
          <w:tcPr>
            <w:tcW w:w="1301" w:type="dxa"/>
            <w:noWrap w:val="0"/>
            <w:vAlign w:val="center"/>
          </w:tcPr>
          <w:p>
            <w:r>
              <w:t>3.30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1</w:t>
            </w:r>
          </w:p>
        </w:tc>
        <w:tc>
          <w:tcPr>
            <w:tcW w:w="820" w:type="dxa"/>
            <w:vMerge w:val="restart"/>
            <w:noWrap w:val="0"/>
            <w:vAlign w:val="center"/>
          </w:tcPr>
          <w:p>
            <w:r>
              <w:t>2-A</w:t>
            </w:r>
          </w:p>
        </w:tc>
        <w:tc>
          <w:tcPr>
            <w:tcW w:w="1075" w:type="dxa"/>
            <w:noWrap w:val="0"/>
            <w:vAlign w:val="center"/>
          </w:tcPr>
          <w:p>
            <w:r>
              <w:t>1063</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76.20</w:t>
            </w:r>
          </w:p>
        </w:tc>
        <w:tc>
          <w:tcPr>
            <w:tcW w:w="1075" w:type="dxa"/>
            <w:noWrap w:val="0"/>
            <w:vAlign w:val="center"/>
          </w:tcPr>
          <w:p>
            <w:r>
              <w:t>4.38</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1071</w:t>
            </w:r>
          </w:p>
        </w:tc>
        <w:tc>
          <w:tcPr>
            <w:tcW w:w="1075" w:type="dxa"/>
            <w:noWrap w:val="0"/>
            <w:vAlign w:val="center"/>
          </w:tcPr>
          <w:p>
            <w:r>
              <w:t>库房</w:t>
            </w:r>
          </w:p>
        </w:tc>
        <w:tc>
          <w:tcPr>
            <w:tcW w:w="735" w:type="dxa"/>
            <w:noWrap w:val="0"/>
            <w:vAlign w:val="center"/>
          </w:tcPr>
          <w:p>
            <w:r>
              <w:t>V</w:t>
            </w:r>
          </w:p>
        </w:tc>
        <w:tc>
          <w:tcPr>
            <w:tcW w:w="735" w:type="dxa"/>
            <w:noWrap w:val="0"/>
            <w:vAlign w:val="center"/>
          </w:tcPr>
          <w:p>
            <w:r>
              <w:t>侧面</w:t>
            </w:r>
          </w:p>
        </w:tc>
        <w:tc>
          <w:tcPr>
            <w:tcW w:w="905" w:type="dxa"/>
            <w:noWrap w:val="0"/>
            <w:vAlign w:val="center"/>
          </w:tcPr>
          <w:p>
            <w:r>
              <w:t>37.38</w:t>
            </w:r>
          </w:p>
        </w:tc>
        <w:tc>
          <w:tcPr>
            <w:tcW w:w="1075" w:type="dxa"/>
            <w:noWrap w:val="0"/>
            <w:vAlign w:val="center"/>
          </w:tcPr>
          <w:p>
            <w:r>
              <w:t>1.71</w:t>
            </w:r>
          </w:p>
        </w:tc>
        <w:tc>
          <w:tcPr>
            <w:tcW w:w="1301" w:type="dxa"/>
            <w:noWrap w:val="0"/>
            <w:vAlign w:val="center"/>
          </w:tcPr>
          <w:p>
            <w:r>
              <w:t>1.10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1074</w:t>
            </w:r>
          </w:p>
        </w:tc>
        <w:tc>
          <w:tcPr>
            <w:tcW w:w="1075" w:type="dxa"/>
            <w:noWrap w:val="0"/>
            <w:vAlign w:val="center"/>
          </w:tcPr>
          <w:p>
            <w:r>
              <w:t>贵宾室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37.32</w:t>
            </w:r>
          </w:p>
        </w:tc>
        <w:tc>
          <w:tcPr>
            <w:tcW w:w="1075" w:type="dxa"/>
            <w:noWrap w:val="0"/>
            <w:vAlign w:val="center"/>
          </w:tcPr>
          <w:p>
            <w:r>
              <w:t>2.57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restart"/>
            <w:noWrap w:val="0"/>
            <w:vAlign w:val="center"/>
          </w:tcPr>
          <w:p>
            <w:r>
              <w:t>--</w:t>
            </w:r>
          </w:p>
        </w:tc>
        <w:tc>
          <w:tcPr>
            <w:tcW w:w="1075" w:type="dxa"/>
            <w:noWrap w:val="0"/>
            <w:vAlign w:val="center"/>
          </w:tcPr>
          <w:p>
            <w:r>
              <w:t>1061</w:t>
            </w:r>
          </w:p>
        </w:tc>
        <w:tc>
          <w:tcPr>
            <w:tcW w:w="1075" w:type="dxa"/>
            <w:noWrap w:val="0"/>
            <w:vAlign w:val="center"/>
          </w:tcPr>
          <w:p>
            <w:r>
              <w:t>库房</w:t>
            </w:r>
          </w:p>
        </w:tc>
        <w:tc>
          <w:tcPr>
            <w:tcW w:w="735" w:type="dxa"/>
            <w:noWrap w:val="0"/>
            <w:vAlign w:val="center"/>
          </w:tcPr>
          <w:p>
            <w:r>
              <w:t>V</w:t>
            </w:r>
          </w:p>
        </w:tc>
        <w:tc>
          <w:tcPr>
            <w:tcW w:w="735" w:type="dxa"/>
            <w:noWrap w:val="0"/>
            <w:vAlign w:val="center"/>
          </w:tcPr>
          <w:p>
            <w:r>
              <w:t>侧面</w:t>
            </w:r>
          </w:p>
        </w:tc>
        <w:tc>
          <w:tcPr>
            <w:tcW w:w="905" w:type="dxa"/>
            <w:noWrap w:val="0"/>
            <w:vAlign w:val="center"/>
          </w:tcPr>
          <w:p>
            <w:r>
              <w:t>38.27</w:t>
            </w:r>
          </w:p>
        </w:tc>
        <w:tc>
          <w:tcPr>
            <w:tcW w:w="1075" w:type="dxa"/>
            <w:noWrap w:val="0"/>
            <w:vAlign w:val="center"/>
          </w:tcPr>
          <w:p>
            <w:r>
              <w:t>0.00</w:t>
            </w:r>
          </w:p>
        </w:tc>
        <w:tc>
          <w:tcPr>
            <w:tcW w:w="1301" w:type="dxa"/>
            <w:noWrap w:val="0"/>
            <w:vAlign w:val="center"/>
          </w:tcPr>
          <w:p>
            <w:r>
              <w:t>1.10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1070</w:t>
            </w:r>
          </w:p>
        </w:tc>
        <w:tc>
          <w:tcPr>
            <w:tcW w:w="1075" w:type="dxa"/>
            <w:noWrap w:val="0"/>
            <w:vAlign w:val="center"/>
          </w:tcPr>
          <w:p>
            <w:r>
              <w:t>运动员休息室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24.38</w:t>
            </w:r>
          </w:p>
        </w:tc>
        <w:tc>
          <w:tcPr>
            <w:tcW w:w="1075" w:type="dxa"/>
            <w:noWrap w:val="0"/>
            <w:vAlign w:val="center"/>
          </w:tcPr>
          <w:p>
            <w:r>
              <w:t>1.00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22.13</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1075</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22.13</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1078</w:t>
            </w:r>
          </w:p>
        </w:tc>
        <w:tc>
          <w:tcPr>
            <w:tcW w:w="1075" w:type="dxa"/>
            <w:noWrap w:val="0"/>
            <w:vAlign w:val="center"/>
          </w:tcPr>
          <w:p>
            <w:r>
              <w:t>运动员休息室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24.38</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2</w:t>
            </w:r>
          </w:p>
        </w:tc>
        <w:tc>
          <w:tcPr>
            <w:tcW w:w="820" w:type="dxa"/>
            <w:vMerge w:val="restart"/>
            <w:noWrap w:val="0"/>
            <w:vAlign w:val="center"/>
          </w:tcPr>
          <w:p>
            <w:r>
              <w:t>--</w:t>
            </w:r>
          </w:p>
        </w:tc>
        <w:tc>
          <w:tcPr>
            <w:tcW w:w="1075" w:type="dxa"/>
            <w:noWrap w:val="0"/>
            <w:vAlign w:val="center"/>
          </w:tcPr>
          <w:p>
            <w:r>
              <w:t>2105</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3.37</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2106</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6.04</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2107</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3.42</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2108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6.21</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2109</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3.77</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2110</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6.85</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2111</w:t>
            </w:r>
          </w:p>
        </w:tc>
        <w:tc>
          <w:tcPr>
            <w:tcW w:w="1075" w:type="dxa"/>
            <w:noWrap w:val="0"/>
            <w:vAlign w:val="center"/>
          </w:tcPr>
          <w:p>
            <w:r>
              <w:t>办公室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27.50</w:t>
            </w:r>
          </w:p>
        </w:tc>
        <w:tc>
          <w:tcPr>
            <w:tcW w:w="1075" w:type="dxa"/>
            <w:noWrap w:val="0"/>
            <w:vAlign w:val="center"/>
          </w:tcPr>
          <w:p>
            <w:r>
              <w:t>2.87</w:t>
            </w:r>
          </w:p>
        </w:tc>
        <w:tc>
          <w:tcPr>
            <w:tcW w:w="1301" w:type="dxa"/>
            <w:noWrap w:val="0"/>
            <w:vAlign w:val="center"/>
          </w:tcPr>
          <w:p>
            <w:r>
              <w:t>3.30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2113</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2114</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2115</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12.35</w:t>
            </w:r>
          </w:p>
        </w:tc>
        <w:tc>
          <w:tcPr>
            <w:tcW w:w="1075" w:type="dxa"/>
            <w:noWrap w:val="0"/>
            <w:vAlign w:val="center"/>
          </w:tcPr>
          <w:p>
            <w:r>
              <w:t>0.02</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2120</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72.66</w:t>
            </w:r>
          </w:p>
        </w:tc>
        <w:tc>
          <w:tcPr>
            <w:tcW w:w="1075" w:type="dxa"/>
            <w:noWrap w:val="0"/>
            <w:vAlign w:val="center"/>
          </w:tcPr>
          <w:p>
            <w:r>
              <w:t>3.88</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2125</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115.37</w:t>
            </w:r>
          </w:p>
        </w:tc>
        <w:tc>
          <w:tcPr>
            <w:tcW w:w="1075" w:type="dxa"/>
            <w:noWrap w:val="0"/>
            <w:vAlign w:val="center"/>
          </w:tcPr>
          <w:p>
            <w:r>
              <w:t>4.10</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2128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13.51</w:t>
            </w:r>
          </w:p>
        </w:tc>
        <w:tc>
          <w:tcPr>
            <w:tcW w:w="1075" w:type="dxa"/>
            <w:noWrap w:val="0"/>
            <w:vAlign w:val="center"/>
          </w:tcPr>
          <w:p>
            <w:r>
              <w:t>0.01</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2129</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94.97</w:t>
            </w:r>
          </w:p>
        </w:tc>
        <w:tc>
          <w:tcPr>
            <w:tcW w:w="1075" w:type="dxa"/>
            <w:noWrap w:val="0"/>
            <w:vAlign w:val="center"/>
          </w:tcPr>
          <w:p>
            <w:r>
              <w:t>4.32</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2130</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95.53</w:t>
            </w:r>
          </w:p>
        </w:tc>
        <w:tc>
          <w:tcPr>
            <w:tcW w:w="1075" w:type="dxa"/>
            <w:noWrap w:val="0"/>
            <w:vAlign w:val="center"/>
          </w:tcPr>
          <w:p>
            <w:r>
              <w:t>4.30</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2131</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2134</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2136</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95.24</w:t>
            </w:r>
          </w:p>
        </w:tc>
        <w:tc>
          <w:tcPr>
            <w:tcW w:w="1075" w:type="dxa"/>
            <w:noWrap w:val="0"/>
            <w:vAlign w:val="center"/>
          </w:tcPr>
          <w:p>
            <w:r>
              <w:t>3.97</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2140</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13.04</w:t>
            </w:r>
          </w:p>
        </w:tc>
        <w:tc>
          <w:tcPr>
            <w:tcW w:w="1075" w:type="dxa"/>
            <w:noWrap w:val="0"/>
            <w:vAlign w:val="center"/>
          </w:tcPr>
          <w:p>
            <w:r>
              <w:t>5.43</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2141</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12.33</w:t>
            </w:r>
          </w:p>
        </w:tc>
        <w:tc>
          <w:tcPr>
            <w:tcW w:w="1075" w:type="dxa"/>
            <w:noWrap w:val="0"/>
            <w:vAlign w:val="center"/>
          </w:tcPr>
          <w:p>
            <w:r>
              <w:t>7.58</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2142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12.33</w:t>
            </w:r>
          </w:p>
        </w:tc>
        <w:tc>
          <w:tcPr>
            <w:tcW w:w="1075" w:type="dxa"/>
            <w:noWrap w:val="0"/>
            <w:vAlign w:val="center"/>
          </w:tcPr>
          <w:p>
            <w:r>
              <w:t>7.61</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3</w:t>
            </w:r>
          </w:p>
        </w:tc>
        <w:tc>
          <w:tcPr>
            <w:tcW w:w="820" w:type="dxa"/>
            <w:vMerge w:val="restart"/>
            <w:noWrap w:val="0"/>
            <w:vAlign w:val="center"/>
          </w:tcPr>
          <w:p>
            <w:r>
              <w:t>--</w:t>
            </w:r>
          </w:p>
        </w:tc>
        <w:tc>
          <w:tcPr>
            <w:tcW w:w="1075" w:type="dxa"/>
            <w:noWrap w:val="0"/>
            <w:vAlign w:val="center"/>
          </w:tcPr>
          <w:p>
            <w:r>
              <w:t>3147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95.57</w:t>
            </w:r>
          </w:p>
        </w:tc>
        <w:tc>
          <w:tcPr>
            <w:tcW w:w="1075" w:type="dxa"/>
            <w:noWrap w:val="0"/>
            <w:vAlign w:val="center"/>
          </w:tcPr>
          <w:p>
            <w:r>
              <w:t>3.39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3148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3.43</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3149</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95.57</w:t>
            </w:r>
          </w:p>
        </w:tc>
        <w:tc>
          <w:tcPr>
            <w:tcW w:w="1075" w:type="dxa"/>
            <w:noWrap w:val="0"/>
            <w:vAlign w:val="center"/>
          </w:tcPr>
          <w:p>
            <w:r>
              <w:t>3.94</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3150</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3.93</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3151</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4.03</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3152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3.76</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3153</w:t>
            </w:r>
          </w:p>
        </w:tc>
        <w:tc>
          <w:tcPr>
            <w:tcW w:w="1075" w:type="dxa"/>
            <w:noWrap w:val="0"/>
            <w:vAlign w:val="center"/>
          </w:tcPr>
          <w:p>
            <w:r>
              <w:t>办公室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27.50</w:t>
            </w:r>
          </w:p>
        </w:tc>
        <w:tc>
          <w:tcPr>
            <w:tcW w:w="1075" w:type="dxa"/>
            <w:noWrap w:val="0"/>
            <w:vAlign w:val="center"/>
          </w:tcPr>
          <w:p>
            <w:r>
              <w:t>4.29</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3158</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72.84</w:t>
            </w:r>
          </w:p>
        </w:tc>
        <w:tc>
          <w:tcPr>
            <w:tcW w:w="1075" w:type="dxa"/>
            <w:noWrap w:val="0"/>
            <w:vAlign w:val="center"/>
          </w:tcPr>
          <w:p>
            <w:r>
              <w:t>3.93</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3163</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115.68</w:t>
            </w:r>
          </w:p>
        </w:tc>
        <w:tc>
          <w:tcPr>
            <w:tcW w:w="1075" w:type="dxa"/>
            <w:noWrap w:val="0"/>
            <w:vAlign w:val="center"/>
          </w:tcPr>
          <w:p>
            <w:r>
              <w:t>3.93</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3166</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13.00</w:t>
            </w:r>
          </w:p>
        </w:tc>
        <w:tc>
          <w:tcPr>
            <w:tcW w:w="1075" w:type="dxa"/>
            <w:noWrap w:val="0"/>
            <w:vAlign w:val="center"/>
          </w:tcPr>
          <w:p>
            <w:r>
              <w:t>0.30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3167</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94.92</w:t>
            </w:r>
          </w:p>
        </w:tc>
        <w:tc>
          <w:tcPr>
            <w:tcW w:w="1075" w:type="dxa"/>
            <w:noWrap w:val="0"/>
            <w:vAlign w:val="center"/>
          </w:tcPr>
          <w:p>
            <w:r>
              <w:t>4.32</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3168</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94.92</w:t>
            </w:r>
          </w:p>
        </w:tc>
        <w:tc>
          <w:tcPr>
            <w:tcW w:w="1075" w:type="dxa"/>
            <w:noWrap w:val="0"/>
            <w:vAlign w:val="center"/>
          </w:tcPr>
          <w:p>
            <w:r>
              <w:t>4.31</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3169</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3171</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3173</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95.75</w:t>
            </w:r>
          </w:p>
        </w:tc>
        <w:tc>
          <w:tcPr>
            <w:tcW w:w="1075" w:type="dxa"/>
            <w:noWrap w:val="0"/>
            <w:vAlign w:val="center"/>
          </w:tcPr>
          <w:p>
            <w:r>
              <w:t>3.95</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3175</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13.00</w:t>
            </w:r>
          </w:p>
        </w:tc>
        <w:tc>
          <w:tcPr>
            <w:tcW w:w="1075" w:type="dxa"/>
            <w:noWrap w:val="0"/>
            <w:vAlign w:val="center"/>
          </w:tcPr>
          <w:p>
            <w:r>
              <w:t>5.05</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3176</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7.47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3177</w:t>
            </w:r>
          </w:p>
        </w:tc>
        <w:tc>
          <w:tcPr>
            <w:tcW w:w="1075" w:type="dxa"/>
            <w:noWrap w:val="0"/>
            <w:vAlign w:val="center"/>
          </w:tcPr>
          <w:p>
            <w:r>
              <w:t>陈列室</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7.47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4</w:t>
            </w:r>
          </w:p>
        </w:tc>
        <w:tc>
          <w:tcPr>
            <w:tcW w:w="820" w:type="dxa"/>
            <w:vMerge w:val="restart"/>
            <w:noWrap w:val="0"/>
            <w:vAlign w:val="center"/>
          </w:tcPr>
          <w:p>
            <w:r>
              <w:t>--</w:t>
            </w:r>
          </w:p>
        </w:tc>
        <w:tc>
          <w:tcPr>
            <w:tcW w:w="1075" w:type="dxa"/>
            <w:noWrap w:val="0"/>
            <w:vAlign w:val="center"/>
          </w:tcPr>
          <w:p>
            <w:r>
              <w:t>4184</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4.59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4185</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4.47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4186</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95.57</w:t>
            </w:r>
          </w:p>
        </w:tc>
        <w:tc>
          <w:tcPr>
            <w:tcW w:w="1075" w:type="dxa"/>
            <w:noWrap w:val="0"/>
            <w:vAlign w:val="center"/>
          </w:tcPr>
          <w:p>
            <w:r>
              <w:t>5.07</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4187</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4.40</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4188</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4.75</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4189</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3.86</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4190</w:t>
            </w:r>
          </w:p>
        </w:tc>
        <w:tc>
          <w:tcPr>
            <w:tcW w:w="1075" w:type="dxa"/>
            <w:noWrap w:val="0"/>
            <w:vAlign w:val="center"/>
          </w:tcPr>
          <w:p>
            <w:r>
              <w:t>办公室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27.50</w:t>
            </w:r>
          </w:p>
        </w:tc>
        <w:tc>
          <w:tcPr>
            <w:tcW w:w="1075" w:type="dxa"/>
            <w:noWrap w:val="0"/>
            <w:vAlign w:val="center"/>
          </w:tcPr>
          <w:p>
            <w:r>
              <w:t>3.81</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4194</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73.08</w:t>
            </w:r>
          </w:p>
        </w:tc>
        <w:tc>
          <w:tcPr>
            <w:tcW w:w="1075" w:type="dxa"/>
            <w:noWrap w:val="0"/>
            <w:vAlign w:val="center"/>
          </w:tcPr>
          <w:p>
            <w:r>
              <w:t>4.06</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4196</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106.24</w:t>
            </w:r>
          </w:p>
        </w:tc>
        <w:tc>
          <w:tcPr>
            <w:tcW w:w="1075" w:type="dxa"/>
            <w:noWrap w:val="0"/>
            <w:vAlign w:val="center"/>
          </w:tcPr>
          <w:p>
            <w:r>
              <w:t>5.20</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4197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115.74</w:t>
            </w:r>
          </w:p>
        </w:tc>
        <w:tc>
          <w:tcPr>
            <w:tcW w:w="1075" w:type="dxa"/>
            <w:noWrap w:val="0"/>
            <w:vAlign w:val="center"/>
          </w:tcPr>
          <w:p>
            <w:r>
              <w:t>4.31</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4198</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108.65</w:t>
            </w:r>
          </w:p>
        </w:tc>
        <w:tc>
          <w:tcPr>
            <w:tcW w:w="1075" w:type="dxa"/>
            <w:noWrap w:val="0"/>
            <w:vAlign w:val="center"/>
          </w:tcPr>
          <w:p>
            <w:r>
              <w:t>5.33</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4200</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100.08</w:t>
            </w:r>
          </w:p>
        </w:tc>
        <w:tc>
          <w:tcPr>
            <w:tcW w:w="1075" w:type="dxa"/>
            <w:noWrap w:val="0"/>
            <w:vAlign w:val="center"/>
          </w:tcPr>
          <w:p>
            <w:r>
              <w:t>4.87</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4201</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14.80</w:t>
            </w:r>
          </w:p>
        </w:tc>
        <w:tc>
          <w:tcPr>
            <w:tcW w:w="1075" w:type="dxa"/>
            <w:noWrap w:val="0"/>
            <w:vAlign w:val="center"/>
          </w:tcPr>
          <w:p>
            <w:r>
              <w:t>2.57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2.75</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4203</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5.84</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4204</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6.09</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4205</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4207</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10.70</w:t>
            </w:r>
          </w:p>
        </w:tc>
        <w:tc>
          <w:tcPr>
            <w:tcW w:w="1075" w:type="dxa"/>
            <w:noWrap w:val="0"/>
            <w:vAlign w:val="center"/>
          </w:tcPr>
          <w:p>
            <w:r>
              <w:t>0.00</w:t>
            </w:r>
          </w:p>
        </w:tc>
        <w:tc>
          <w:tcPr>
            <w:tcW w:w="1301" w:type="dxa"/>
            <w:noWrap w:val="0"/>
            <w:vAlign w:val="center"/>
          </w:tcPr>
          <w:p>
            <w:r>
              <w:t>2.20</w:t>
            </w:r>
          </w:p>
        </w:tc>
        <w:tc>
          <w:tcPr>
            <w:tcW w:w="1007" w:type="dxa"/>
            <w:noWrap w:val="0"/>
            <w:vAlign w:val="center"/>
          </w:tcPr>
          <w:p>
            <w:r>
              <w:rPr>
                <w:color w:val="FF00FF"/>
              </w:rPr>
              <w:t>不满足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4209</w:t>
            </w:r>
          </w:p>
        </w:tc>
        <w:tc>
          <w:tcPr>
            <w:tcW w:w="1075" w:type="dxa"/>
            <w:noWrap w:val="0"/>
            <w:vAlign w:val="center"/>
          </w:tcPr>
          <w:p>
            <w:r>
              <w:t>实验室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95.61</w:t>
            </w:r>
          </w:p>
        </w:tc>
        <w:tc>
          <w:tcPr>
            <w:tcW w:w="1075" w:type="dxa"/>
            <w:noWrap w:val="0"/>
            <w:vAlign w:val="center"/>
          </w:tcPr>
          <w:p>
            <w:r>
              <w:t>4.72</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4211</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14.80</w:t>
            </w:r>
          </w:p>
        </w:tc>
        <w:tc>
          <w:tcPr>
            <w:tcW w:w="1075" w:type="dxa"/>
            <w:noWrap w:val="0"/>
            <w:vAlign w:val="center"/>
          </w:tcPr>
          <w:p>
            <w:r>
              <w:t>4.06</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4212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5.10</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4213</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7.48</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4214</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12.40</w:t>
            </w:r>
          </w:p>
        </w:tc>
        <w:tc>
          <w:tcPr>
            <w:tcW w:w="1075" w:type="dxa"/>
            <w:noWrap w:val="0"/>
            <w:vAlign w:val="center"/>
          </w:tcPr>
          <w:p>
            <w:r>
              <w:t>7.51</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5</w:t>
            </w:r>
          </w:p>
        </w:tc>
        <w:tc>
          <w:tcPr>
            <w:tcW w:w="820" w:type="dxa"/>
            <w:vMerge w:val="restart"/>
            <w:noWrap w:val="0"/>
            <w:vAlign w:val="center"/>
          </w:tcPr>
          <w:p>
            <w:r>
              <w:t>1-A</w:t>
            </w:r>
          </w:p>
        </w:tc>
        <w:tc>
          <w:tcPr>
            <w:tcW w:w="1075" w:type="dxa"/>
            <w:noWrap w:val="0"/>
            <w:vAlign w:val="center"/>
          </w:tcPr>
          <w:p>
            <w:r>
              <w:t>5005</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5.63</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5006</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4.76</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5007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95.57</w:t>
            </w:r>
          </w:p>
        </w:tc>
        <w:tc>
          <w:tcPr>
            <w:tcW w:w="1075" w:type="dxa"/>
            <w:noWrap w:val="0"/>
            <w:vAlign w:val="center"/>
          </w:tcPr>
          <w:p>
            <w:r>
              <w:t>5.38</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5008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4.54</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5009</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5.41</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5010</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3.94</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5011</w:t>
            </w:r>
          </w:p>
        </w:tc>
        <w:tc>
          <w:tcPr>
            <w:tcW w:w="1075" w:type="dxa"/>
            <w:noWrap w:val="0"/>
            <w:vAlign w:val="center"/>
          </w:tcPr>
          <w:p>
            <w:r>
              <w:t>办公室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27.50</w:t>
            </w:r>
          </w:p>
        </w:tc>
        <w:tc>
          <w:tcPr>
            <w:tcW w:w="1075" w:type="dxa"/>
            <w:noWrap w:val="0"/>
            <w:vAlign w:val="center"/>
          </w:tcPr>
          <w:p>
            <w:r>
              <w:t>3.85</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5016</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73.08</w:t>
            </w:r>
          </w:p>
        </w:tc>
        <w:tc>
          <w:tcPr>
            <w:tcW w:w="1075" w:type="dxa"/>
            <w:noWrap w:val="0"/>
            <w:vAlign w:val="center"/>
          </w:tcPr>
          <w:p>
            <w:r>
              <w:t>4.28</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106.24</w:t>
            </w:r>
          </w:p>
        </w:tc>
        <w:tc>
          <w:tcPr>
            <w:tcW w:w="1075" w:type="dxa"/>
            <w:noWrap w:val="0"/>
            <w:vAlign w:val="center"/>
          </w:tcPr>
          <w:p>
            <w:r>
              <w:t>5.24</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5018</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115.74</w:t>
            </w:r>
          </w:p>
        </w:tc>
        <w:tc>
          <w:tcPr>
            <w:tcW w:w="1075" w:type="dxa"/>
            <w:noWrap w:val="0"/>
            <w:vAlign w:val="center"/>
          </w:tcPr>
          <w:p>
            <w:r>
              <w:t>4.29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5019</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108.65</w:t>
            </w:r>
          </w:p>
        </w:tc>
        <w:tc>
          <w:tcPr>
            <w:tcW w:w="1075" w:type="dxa"/>
            <w:noWrap w:val="0"/>
            <w:vAlign w:val="center"/>
          </w:tcPr>
          <w:p>
            <w:r>
              <w:t>5.47</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5021</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100.08</w:t>
            </w:r>
          </w:p>
        </w:tc>
        <w:tc>
          <w:tcPr>
            <w:tcW w:w="1075" w:type="dxa"/>
            <w:noWrap w:val="0"/>
            <w:vAlign w:val="center"/>
          </w:tcPr>
          <w:p>
            <w:r>
              <w:t>4.87</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30.34</w:t>
            </w:r>
          </w:p>
        </w:tc>
        <w:tc>
          <w:tcPr>
            <w:tcW w:w="1075" w:type="dxa"/>
            <w:noWrap w:val="0"/>
            <w:vAlign w:val="center"/>
          </w:tcPr>
          <w:p>
            <w:r>
              <w:t>2.49</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5023</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25.42</w:t>
            </w:r>
          </w:p>
        </w:tc>
        <w:tc>
          <w:tcPr>
            <w:tcW w:w="1075" w:type="dxa"/>
            <w:noWrap w:val="0"/>
            <w:vAlign w:val="center"/>
          </w:tcPr>
          <w:p>
            <w:r>
              <w:t>3.11</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5024</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5.60</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5025</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6.19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5026</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23.72</w:t>
            </w:r>
          </w:p>
        </w:tc>
        <w:tc>
          <w:tcPr>
            <w:tcW w:w="1075" w:type="dxa"/>
            <w:noWrap w:val="0"/>
            <w:vAlign w:val="center"/>
          </w:tcPr>
          <w:p>
            <w:r>
              <w:t>4.18</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5028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23.72</w:t>
            </w:r>
          </w:p>
        </w:tc>
        <w:tc>
          <w:tcPr>
            <w:tcW w:w="1075" w:type="dxa"/>
            <w:noWrap w:val="0"/>
            <w:vAlign w:val="center"/>
          </w:tcPr>
          <w:p>
            <w:r>
              <w:t>4.18</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5030</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95.61</w:t>
            </w:r>
          </w:p>
        </w:tc>
        <w:tc>
          <w:tcPr>
            <w:tcW w:w="1075" w:type="dxa"/>
            <w:noWrap w:val="0"/>
            <w:vAlign w:val="center"/>
          </w:tcPr>
          <w:p>
            <w:r>
              <w:t>4.94</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restart"/>
            <w:noWrap w:val="0"/>
            <w:vAlign w:val="center"/>
          </w:tcPr>
          <w:p>
            <w:r>
              <w:t>6</w:t>
            </w:r>
          </w:p>
        </w:tc>
        <w:tc>
          <w:tcPr>
            <w:tcW w:w="820" w:type="dxa"/>
            <w:vMerge w:val="restart"/>
            <w:noWrap w:val="0"/>
            <w:vAlign w:val="center"/>
          </w:tcPr>
          <w:p>
            <w:r>
              <w:t>--</w:t>
            </w:r>
          </w:p>
        </w:tc>
        <w:tc>
          <w:tcPr>
            <w:tcW w:w="1075" w:type="dxa"/>
            <w:noWrap w:val="0"/>
            <w:vAlign w:val="center"/>
          </w:tcPr>
          <w:p>
            <w:r>
              <w:t>6005</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5.13</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6006</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4.73</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6007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95.57</w:t>
            </w:r>
          </w:p>
        </w:tc>
        <w:tc>
          <w:tcPr>
            <w:tcW w:w="1075" w:type="dxa"/>
            <w:noWrap w:val="0"/>
            <w:vAlign w:val="center"/>
          </w:tcPr>
          <w:p>
            <w:r>
              <w:t>5.99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6008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4.64</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6009</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95.67</w:t>
            </w:r>
          </w:p>
        </w:tc>
        <w:tc>
          <w:tcPr>
            <w:tcW w:w="1075" w:type="dxa"/>
            <w:noWrap w:val="0"/>
            <w:vAlign w:val="center"/>
          </w:tcPr>
          <w:p>
            <w:r>
              <w:t>5.27</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6010</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25.32</w:t>
            </w:r>
          </w:p>
        </w:tc>
        <w:tc>
          <w:tcPr>
            <w:tcW w:w="1075" w:type="dxa"/>
            <w:noWrap w:val="0"/>
            <w:vAlign w:val="center"/>
          </w:tcPr>
          <w:p>
            <w:r>
              <w:t>3.99</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6011</w:t>
            </w:r>
          </w:p>
        </w:tc>
        <w:tc>
          <w:tcPr>
            <w:tcW w:w="1075" w:type="dxa"/>
            <w:noWrap w:val="0"/>
            <w:vAlign w:val="center"/>
          </w:tcPr>
          <w:p>
            <w:r>
              <w:t>办公室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27.50</w:t>
            </w:r>
          </w:p>
        </w:tc>
        <w:tc>
          <w:tcPr>
            <w:tcW w:w="1075" w:type="dxa"/>
            <w:noWrap w:val="0"/>
            <w:vAlign w:val="center"/>
          </w:tcPr>
          <w:p>
            <w:r>
              <w:t>3.89</w:t>
            </w:r>
          </w:p>
        </w:tc>
        <w:tc>
          <w:tcPr>
            <w:tcW w:w="1301" w:type="dxa"/>
            <w:noWrap w:val="0"/>
            <w:vAlign w:val="center"/>
          </w:tcPr>
          <w:p>
            <w:r>
              <w:t>3.30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6016</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73.08</w:t>
            </w:r>
          </w:p>
        </w:tc>
        <w:tc>
          <w:tcPr>
            <w:tcW w:w="1075" w:type="dxa"/>
            <w:noWrap w:val="0"/>
            <w:vAlign w:val="center"/>
          </w:tcPr>
          <w:p>
            <w:r>
              <w:t>4.20</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6017</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106.24</w:t>
            </w:r>
          </w:p>
        </w:tc>
        <w:tc>
          <w:tcPr>
            <w:tcW w:w="1075" w:type="dxa"/>
            <w:noWrap w:val="0"/>
            <w:vAlign w:val="center"/>
          </w:tcPr>
          <w:p>
            <w:r>
              <w:t>5.65</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6018</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115.74</w:t>
            </w:r>
          </w:p>
        </w:tc>
        <w:tc>
          <w:tcPr>
            <w:tcW w:w="1075" w:type="dxa"/>
            <w:noWrap w:val="0"/>
            <w:vAlign w:val="center"/>
          </w:tcPr>
          <w:p>
            <w:r>
              <w:t>4.46</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6019</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108.65</w:t>
            </w:r>
          </w:p>
        </w:tc>
        <w:tc>
          <w:tcPr>
            <w:tcW w:w="1075" w:type="dxa"/>
            <w:noWrap w:val="0"/>
            <w:vAlign w:val="center"/>
          </w:tcPr>
          <w:p>
            <w:r>
              <w:t>5.54</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6021</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100.08</w:t>
            </w:r>
          </w:p>
        </w:tc>
        <w:tc>
          <w:tcPr>
            <w:tcW w:w="1075" w:type="dxa"/>
            <w:noWrap w:val="0"/>
            <w:vAlign w:val="center"/>
          </w:tcPr>
          <w:p>
            <w:r>
              <w:t>4.98</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6022</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30.34</w:t>
            </w:r>
          </w:p>
        </w:tc>
        <w:tc>
          <w:tcPr>
            <w:tcW w:w="1075" w:type="dxa"/>
            <w:noWrap w:val="0"/>
            <w:vAlign w:val="center"/>
          </w:tcPr>
          <w:p>
            <w:r>
              <w:t>2.60</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6023</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25.42</w:t>
            </w:r>
          </w:p>
        </w:tc>
        <w:tc>
          <w:tcPr>
            <w:tcW w:w="1075" w:type="dxa"/>
            <w:noWrap w:val="0"/>
            <w:vAlign w:val="center"/>
          </w:tcPr>
          <w:p>
            <w:r>
              <w:t>3.27</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6024</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5.66</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6025</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95.81</w:t>
            </w:r>
          </w:p>
        </w:tc>
        <w:tc>
          <w:tcPr>
            <w:tcW w:w="1075" w:type="dxa"/>
            <w:noWrap w:val="0"/>
            <w:vAlign w:val="center"/>
          </w:tcPr>
          <w:p>
            <w:r>
              <w:t>6.09</w:t>
            </w:r>
          </w:p>
        </w:tc>
        <w:tc>
          <w:tcPr>
            <w:tcW w:w="1301" w:type="dxa"/>
            <w:noWrap w:val="0"/>
            <w:vAlign w:val="center"/>
          </w:tcPr>
          <w:p>
            <w:r>
              <w:t>3.30</w:t>
            </w:r>
          </w:p>
        </w:tc>
        <w:tc>
          <w:tcPr>
            <w:tcW w:w="1007" w:type="dxa"/>
            <w:noWrap w:val="0"/>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6026</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23.72</w:t>
            </w:r>
          </w:p>
        </w:tc>
        <w:tc>
          <w:tcPr>
            <w:tcW w:w="1075" w:type="dxa"/>
            <w:noWrap w:val="0"/>
            <w:vAlign w:val="center"/>
          </w:tcPr>
          <w:p>
            <w:r>
              <w:t>4.19</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6028</w:t>
            </w:r>
          </w:p>
        </w:tc>
        <w:tc>
          <w:tcPr>
            <w:tcW w:w="1075" w:type="dxa"/>
            <w:noWrap w:val="0"/>
            <w:vAlign w:val="center"/>
          </w:tcPr>
          <w:p>
            <w:r>
              <w:t>休息厅</w:t>
            </w:r>
          </w:p>
        </w:tc>
        <w:tc>
          <w:tcPr>
            <w:tcW w:w="735" w:type="dxa"/>
            <w:noWrap w:val="0"/>
            <w:vAlign w:val="center"/>
          </w:tcPr>
          <w:p>
            <w:r>
              <w:t>IV</w:t>
            </w:r>
          </w:p>
        </w:tc>
        <w:tc>
          <w:tcPr>
            <w:tcW w:w="735" w:type="dxa"/>
            <w:noWrap w:val="0"/>
            <w:vAlign w:val="center"/>
          </w:tcPr>
          <w:p>
            <w:r>
              <w:t>侧面</w:t>
            </w:r>
          </w:p>
        </w:tc>
        <w:tc>
          <w:tcPr>
            <w:tcW w:w="905" w:type="dxa"/>
            <w:noWrap w:val="0"/>
            <w:vAlign w:val="center"/>
          </w:tcPr>
          <w:p>
            <w:r>
              <w:t>23.72</w:t>
            </w:r>
          </w:p>
        </w:tc>
        <w:tc>
          <w:tcPr>
            <w:tcW w:w="1075" w:type="dxa"/>
            <w:noWrap w:val="0"/>
            <w:vAlign w:val="center"/>
          </w:tcPr>
          <w:p>
            <w:r>
              <w:t>4.19</w:t>
            </w:r>
          </w:p>
        </w:tc>
        <w:tc>
          <w:tcPr>
            <w:tcW w:w="1301" w:type="dxa"/>
            <w:noWrap w:val="0"/>
            <w:vAlign w:val="center"/>
          </w:tcPr>
          <w:p>
            <w:r>
              <w:t>2.20</w:t>
            </w:r>
          </w:p>
        </w:tc>
        <w:tc>
          <w:tcPr>
            <w:tcW w:w="1007" w:type="dxa"/>
            <w:noWrap w:val="0"/>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594" w:type="dxa"/>
            <w:vMerge w:val="continue"/>
            <w:noWrap w:val="0"/>
            <w:vAlign w:val="center"/>
          </w:tcPr>
          <w:p/>
        </w:tc>
        <w:tc>
          <w:tcPr>
            <w:tcW w:w="820" w:type="dxa"/>
            <w:vMerge w:val="continue"/>
            <w:noWrap w:val="0"/>
            <w:vAlign w:val="center"/>
          </w:tcPr>
          <w:p/>
        </w:tc>
        <w:tc>
          <w:tcPr>
            <w:tcW w:w="1075" w:type="dxa"/>
            <w:noWrap w:val="0"/>
            <w:vAlign w:val="center"/>
          </w:tcPr>
          <w:p>
            <w:r>
              <w:t>6030</w:t>
            </w:r>
          </w:p>
        </w:tc>
        <w:tc>
          <w:tcPr>
            <w:tcW w:w="1075" w:type="dxa"/>
            <w:noWrap w:val="0"/>
            <w:vAlign w:val="center"/>
          </w:tcPr>
          <w:p>
            <w:r>
              <w:t>普通教室</w:t>
            </w:r>
          </w:p>
        </w:tc>
        <w:tc>
          <w:tcPr>
            <w:tcW w:w="735" w:type="dxa"/>
            <w:noWrap w:val="0"/>
            <w:vAlign w:val="center"/>
          </w:tcPr>
          <w:p>
            <w:r>
              <w:t>III</w:t>
            </w:r>
          </w:p>
        </w:tc>
        <w:tc>
          <w:tcPr>
            <w:tcW w:w="735" w:type="dxa"/>
            <w:noWrap w:val="0"/>
            <w:vAlign w:val="center"/>
          </w:tcPr>
          <w:p>
            <w:r>
              <w:t>侧面</w:t>
            </w:r>
          </w:p>
        </w:tc>
        <w:tc>
          <w:tcPr>
            <w:tcW w:w="905" w:type="dxa"/>
            <w:noWrap w:val="0"/>
            <w:vAlign w:val="center"/>
          </w:tcPr>
          <w:p>
            <w:r>
              <w:t>95.61</w:t>
            </w:r>
          </w:p>
        </w:tc>
        <w:tc>
          <w:tcPr>
            <w:tcW w:w="1075" w:type="dxa"/>
            <w:noWrap w:val="0"/>
            <w:vAlign w:val="center"/>
          </w:tcPr>
          <w:p>
            <w:r>
              <w:t>5.53</w:t>
            </w:r>
          </w:p>
        </w:tc>
        <w:tc>
          <w:tcPr>
            <w:tcW w:w="1301" w:type="dxa"/>
            <w:noWrap w:val="0"/>
            <w:vAlign w:val="center"/>
          </w:tcPr>
          <w:p>
            <w:r>
              <w:t>3.30</w:t>
            </w:r>
          </w:p>
        </w:tc>
        <w:tc>
          <w:tcPr>
            <w:tcW w:w="1007" w:type="dxa"/>
            <w:noWrap w:val="0"/>
            <w:vAlign w:val="center"/>
          </w:tcPr>
          <w:p>
            <w:r>
              <w:rPr>
                <w:b/>
              </w:rPr>
              <w:t>满足</w:t>
            </w:r>
          </w:p>
        </w:tc>
      </w:tr>
    </w:tbl>
    <w:p>
      <w:pPr>
        <w:rPr>
          <w:lang w:val="en-US"/>
        </w:rPr>
      </w:pPr>
    </w:p>
    <w:p>
      <w:pPr>
        <w:pStyle w:val="2"/>
        <w:ind w:left="432" w:hanging="432"/>
      </w:pPr>
      <w:bookmarkStart w:id="55" w:name="_Toc123573702"/>
      <w:r>
        <w:rPr>
          <w:rFonts w:hint="eastAsia"/>
        </w:rPr>
        <w:t>结论</w:t>
      </w:r>
      <w:bookmarkEnd w:id="55"/>
    </w:p>
    <w:p>
      <w:pPr>
        <w:pStyle w:val="3"/>
        <w:ind w:firstLine="420"/>
        <w:rPr>
          <w:lang w:val="en-US"/>
        </w:rPr>
      </w:pPr>
      <w:r>
        <w:rPr>
          <w:rFonts w:hint="eastAsia"/>
          <w:lang w:val="en-US"/>
        </w:rPr>
        <w:t>通过对本建筑的采光模拟和统计分析，根据满足</w:t>
      </w:r>
      <w:r>
        <w:t>《建筑环境通用规范》GB 55016-2021</w:t>
      </w:r>
      <w:r>
        <w:rPr>
          <w:rFonts w:hint="eastAsia"/>
        </w:rPr>
        <w:t>、</w:t>
      </w:r>
      <w:r>
        <w:rPr>
          <w:rFonts w:hint="eastAsia"/>
          <w:lang w:val="en-US"/>
        </w:rPr>
        <w:t xml:space="preserve">《建筑采光设计标准》 </w:t>
      </w:r>
      <w:r>
        <w:rPr>
          <w:lang w:val="en-US"/>
        </w:rPr>
        <w:t>GB 50033-2013</w:t>
      </w:r>
      <w:r>
        <w:rPr>
          <w:rFonts w:hint="eastAsia"/>
          <w:lang w:val="en-US"/>
        </w:rPr>
        <w:t>要求的房间</w:t>
      </w:r>
      <w:r>
        <w:rPr>
          <w:lang w:val="en-US"/>
        </w:rPr>
        <w:t>/</w:t>
      </w:r>
      <w:r>
        <w:rPr>
          <w:rFonts w:hint="eastAsia"/>
          <w:lang w:val="en-US"/>
        </w:rPr>
        <w:t>户型情况汇总如下：</w:t>
      </w:r>
    </w:p>
    <w:p>
      <w:pPr>
        <w:rPr>
          <w:lang w:val="en-US"/>
        </w:rPr>
      </w:pPr>
      <w:bookmarkStart w:id="56" w:name="综述"/>
      <w:bookmarkEnd w:id="56"/>
    </w:p>
    <w:tbl>
      <w:tblPr>
        <w:tblStyle w:val="22"/>
        <w:tblW w:w="11839"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3"/>
        <w:gridCol w:w="1303"/>
        <w:gridCol w:w="1131"/>
        <w:gridCol w:w="1075"/>
        <w:gridCol w:w="1075"/>
        <w:gridCol w:w="2434"/>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gridBefore w:val="1"/>
          <w:wBefore w:w="123" w:type="dxa"/>
        </w:trPr>
        <w:tc>
          <w:tcPr>
            <w:tcW w:w="1303" w:type="dxa"/>
            <w:shd w:val="clear" w:color="auto" w:fill="E6E6E6"/>
            <w:noWrap w:val="0"/>
            <w:vAlign w:val="center"/>
          </w:tcPr>
          <w:p>
            <w:r>
              <w:t>房间/户型</w:t>
            </w:r>
          </w:p>
        </w:tc>
        <w:tc>
          <w:tcPr>
            <w:tcW w:w="1131" w:type="dxa"/>
            <w:shd w:val="clear" w:color="auto" w:fill="E6E6E6"/>
            <w:noWrap w:val="0"/>
            <w:vAlign w:val="center"/>
          </w:tcPr>
          <w:p>
            <w:r>
              <w:t>总数</w:t>
            </w:r>
          </w:p>
        </w:tc>
        <w:tc>
          <w:tcPr>
            <w:tcW w:w="1075" w:type="dxa"/>
            <w:shd w:val="clear" w:color="auto" w:fill="E6E6E6"/>
            <w:noWrap w:val="0"/>
            <w:vAlign w:val="center"/>
          </w:tcPr>
          <w:p>
            <w:r>
              <w:t>满足要求数量</w:t>
            </w:r>
          </w:p>
        </w:tc>
        <w:tc>
          <w:tcPr>
            <w:tcW w:w="1075" w:type="dxa"/>
            <w:shd w:val="clear" w:color="auto" w:fill="E6E6E6"/>
            <w:noWrap w:val="0"/>
            <w:vAlign w:val="center"/>
          </w:tcPr>
          <w:p>
            <w:r>
              <w:t>满足要求比例(%)</w:t>
            </w:r>
          </w:p>
        </w:tc>
        <w:tc>
          <w:tcPr>
            <w:tcW w:w="2434" w:type="dxa"/>
            <w:shd w:val="clear" w:color="auto" w:fill="E6E6E6"/>
            <w:noWrap w:val="0"/>
            <w:vAlign w:val="center"/>
          </w:tcPr>
          <w:p/>
        </w:tc>
        <w:tc>
          <w:tcPr>
            <w:tcW w:w="2434" w:type="dxa"/>
            <w:shd w:val="clear" w:color="auto" w:fill="E6E6E6"/>
            <w:noWrap w:val="0"/>
            <w:vAlign w:val="center"/>
          </w:tcPr>
          <w:p>
            <w:r>
              <w:t>不满足非强条的</w:t>
            </w:r>
            <w:r>
              <w:br w:type="textWrapping"/>
            </w:r>
            <w:r>
              <w:t>房间/户型</w:t>
            </w:r>
          </w:p>
        </w:tc>
        <w:tc>
          <w:tcPr>
            <w:tcW w:w="2264" w:type="dxa"/>
            <w:shd w:val="clear" w:color="auto" w:fill="E6E6E6"/>
            <w:noWrap w:val="0"/>
            <w:vAlign w:val="center"/>
          </w:tcPr>
          <w:p>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26" w:type="dxa"/>
            <w:gridSpan w:val="2"/>
            <w:noWrap w:val="0"/>
            <w:vAlign w:val="center"/>
          </w:tcPr>
          <w:p>
            <w:r>
              <w:t>户型(个)</w:t>
            </w:r>
          </w:p>
        </w:tc>
        <w:tc>
          <w:tcPr>
            <w:tcW w:w="1131" w:type="dxa"/>
            <w:noWrap w:val="0"/>
            <w:vAlign w:val="center"/>
          </w:tcPr>
          <w:p>
            <w:r>
              <w:t>2</w:t>
            </w:r>
          </w:p>
        </w:tc>
        <w:tc>
          <w:tcPr>
            <w:tcW w:w="1075" w:type="dxa"/>
            <w:noWrap w:val="0"/>
            <w:vAlign w:val="center"/>
          </w:tcPr>
          <w:p>
            <w:r>
              <w:t>2</w:t>
            </w:r>
          </w:p>
        </w:tc>
        <w:tc>
          <w:tcPr>
            <w:tcW w:w="1075" w:type="dxa"/>
            <w:noWrap w:val="0"/>
            <w:vAlign w:val="center"/>
          </w:tcPr>
          <w:p>
            <w:r>
              <w:t>100.00</w:t>
            </w:r>
          </w:p>
        </w:tc>
        <w:tc>
          <w:tcPr>
            <w:tcW w:w="2434" w:type="dxa"/>
            <w:noWrap w:val="0"/>
            <w:vAlign w:val="center"/>
          </w:tcPr>
          <w:p/>
        </w:tc>
        <w:tc>
          <w:tcPr>
            <w:tcW w:w="2434" w:type="dxa"/>
            <w:noWrap w:val="0"/>
            <w:vAlign w:val="center"/>
          </w:tcPr>
          <w:p/>
        </w:tc>
        <w:tc>
          <w:tcPr>
            <w:tcW w:w="2264" w:type="dxa"/>
            <w:noWrap w:val="0"/>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26" w:type="dxa"/>
            <w:gridSpan w:val="2"/>
            <w:noWrap w:val="0"/>
            <w:vAlign w:val="center"/>
          </w:tcPr>
          <w:p>
            <w:r>
              <w:t>房间(个)</w:t>
            </w:r>
          </w:p>
        </w:tc>
        <w:tc>
          <w:tcPr>
            <w:tcW w:w="1131" w:type="dxa"/>
            <w:noWrap w:val="0"/>
            <w:vAlign w:val="center"/>
          </w:tcPr>
          <w:p>
            <w:r>
              <w:t>109</w:t>
            </w:r>
          </w:p>
        </w:tc>
        <w:tc>
          <w:tcPr>
            <w:tcW w:w="1075" w:type="dxa"/>
            <w:noWrap w:val="0"/>
            <w:vAlign w:val="center"/>
          </w:tcPr>
          <w:p>
            <w:r>
              <w:t>91</w:t>
            </w:r>
          </w:p>
        </w:tc>
        <w:tc>
          <w:tcPr>
            <w:tcW w:w="1075" w:type="dxa"/>
            <w:noWrap w:val="0"/>
            <w:vAlign w:val="center"/>
          </w:tcPr>
          <w:p>
            <w:r>
              <w:t>83.49</w:t>
            </w:r>
          </w:p>
        </w:tc>
        <w:tc>
          <w:tcPr>
            <w:tcW w:w="2434" w:type="dxa"/>
            <w:noWrap w:val="0"/>
            <w:vAlign w:val="center"/>
          </w:tcPr>
          <w:p>
            <w:pPr>
              <w:rPr>
                <w:color w:val="FF00FF"/>
              </w:rPr>
            </w:pPr>
          </w:p>
        </w:tc>
        <w:tc>
          <w:tcPr>
            <w:tcW w:w="2434" w:type="dxa"/>
            <w:noWrap w:val="0"/>
            <w:vAlign w:val="center"/>
          </w:tcPr>
          <w:p>
            <w:r>
              <w:rPr>
                <w:color w:val="FF00FF"/>
              </w:rPr>
              <w:t>-1019 1061 1070 1072 1075 1078 2111 2113 2114 2115 ……</w:t>
            </w:r>
            <w:r>
              <w:rPr>
                <w:color w:val="FF00FF"/>
              </w:rPr>
              <w:br w:type="textWrapping"/>
            </w:r>
            <w:r>
              <w:rPr>
                <w:color w:val="FF00FF"/>
              </w:rPr>
              <w:t>不满足的房间超过10个</w:t>
            </w:r>
          </w:p>
        </w:tc>
        <w:tc>
          <w:tcPr>
            <w:tcW w:w="2264" w:type="dxa"/>
            <w:noWrap w:val="0"/>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26" w:type="dxa"/>
            <w:gridSpan w:val="2"/>
            <w:noWrap w:val="0"/>
            <w:vAlign w:val="center"/>
          </w:tcPr>
          <w:p>
            <w:r>
              <w:t>采光面积(㎡)</w:t>
            </w:r>
          </w:p>
        </w:tc>
        <w:tc>
          <w:tcPr>
            <w:tcW w:w="1131" w:type="dxa"/>
            <w:noWrap w:val="0"/>
            <w:vAlign w:val="center"/>
          </w:tcPr>
          <w:p>
            <w:r>
              <w:t>7168.54</w:t>
            </w:r>
          </w:p>
        </w:tc>
        <w:tc>
          <w:tcPr>
            <w:tcW w:w="1075" w:type="dxa"/>
            <w:noWrap w:val="0"/>
            <w:vAlign w:val="center"/>
          </w:tcPr>
          <w:p>
            <w:r>
              <w:t>5718.35</w:t>
            </w:r>
          </w:p>
        </w:tc>
        <w:tc>
          <w:tcPr>
            <w:tcW w:w="1075" w:type="dxa"/>
            <w:noWrap w:val="0"/>
            <w:vAlign w:val="center"/>
          </w:tcPr>
          <w:p>
            <w:r>
              <w:t>79.77</w:t>
            </w:r>
          </w:p>
        </w:tc>
        <w:tc>
          <w:tcPr>
            <w:tcW w:w="2434" w:type="dxa"/>
            <w:noWrap w:val="0"/>
            <w:vAlign w:val="center"/>
          </w:tcPr>
          <w:p/>
        </w:tc>
        <w:tc>
          <w:tcPr>
            <w:tcW w:w="2434" w:type="dxa"/>
            <w:noWrap w:val="0"/>
            <w:vAlign w:val="center"/>
          </w:tcPr>
          <w:p>
            <w:r>
              <w:t>－－</w:t>
            </w:r>
          </w:p>
        </w:tc>
        <w:tc>
          <w:tcPr>
            <w:tcW w:w="2264" w:type="dxa"/>
            <w:noWrap w:val="0"/>
            <w:vAlign w:val="center"/>
          </w:tcPr>
          <w:p>
            <w:r>
              <w:t>－－</w:t>
            </w:r>
          </w:p>
        </w:tc>
      </w:tr>
    </w:tbl>
    <w:p>
      <w:pPr>
        <w:pStyle w:val="3"/>
        <w:rPr>
          <w:lang w:val="en-US"/>
        </w:rPr>
        <w:sectPr>
          <w:footerReference r:id="rId5" w:type="default"/>
          <w:pgSz w:w="11906" w:h="16838"/>
          <w:pgMar w:top="1440" w:right="1418" w:bottom="1440" w:left="1418" w:header="851" w:footer="992" w:gutter="0"/>
          <w:cols w:space="425" w:num="1"/>
          <w:docGrid w:type="lines" w:linePitch="312" w:charSpace="0"/>
        </w:sectPr>
      </w:pPr>
      <w:bookmarkStart w:id="58" w:name="_GoBack"/>
      <w:bookmarkEnd w:id="58"/>
    </w:p>
    <w:p>
      <w:pPr>
        <w:jc w:val="both"/>
        <w:rPr>
          <w:lang w:val="en-US"/>
        </w:rPr>
      </w:pPr>
    </w:p>
    <w:p>
      <w:pPr>
        <w:rPr>
          <w:lang w:val="en-US"/>
        </w:rPr>
      </w:pPr>
      <w:bookmarkStart w:id="57" w:name="达标图"/>
      <w:bookmarkEnd w:id="57"/>
    </w:p>
    <w:p>
      <w:pPr>
        <w:rPr>
          <w:sz w:val="18"/>
          <w:lang w:val="en-US"/>
        </w:rPr>
      </w:pPr>
    </w:p>
    <w:p>
      <w:pPr>
        <w:rPr>
          <w:sz w:val="18"/>
          <w:lang w:val="en-US"/>
        </w:rPr>
      </w:pPr>
      <w:r>
        <w:rPr>
          <w:sz w:val="18"/>
          <w:lang w:val="en-US"/>
        </w:rPr>
        <w:t>1层</w:t>
      </w:r>
    </w:p>
    <w:p>
      <w:pPr>
        <w:pStyle w:val="3"/>
        <w:ind w:firstLine="0" w:firstLineChars="0"/>
        <w:rPr>
          <w:lang w:val="en-US"/>
        </w:rPr>
      </w:pPr>
    </w:p>
    <w:sectPr>
      <w:pgSz w:w="11906" w:h="16838"/>
      <w:pgMar w:top="1440" w:right="1418" w:bottom="1276"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8</w:t>
    </w:r>
    <w:r>
      <w:fldChar w:fldCharType="end"/>
    </w:r>
    <w:r>
      <w:rPr>
        <w:b/>
      </w:rPr>
      <w:t>/</w:t>
    </w:r>
    <w:r>
      <w:fldChar w:fldCharType="begin"/>
    </w:r>
    <w:r>
      <w:instrText xml:space="preserve"> NUMPAGES  \* Arabic  \* MERGEFORMAT </w:instrText>
    </w:r>
    <w:r>
      <w:fldChar w:fldCharType="separate"/>
    </w:r>
    <w:r>
      <w:t>8</w:t>
    </w:r>
    <w:r>
      <w:fldChar w:fldCharType="end"/>
    </w:r>
    <w:r>
      <w:tab/>
    </w:r>
    <w:r>
      <w:t>Dali202</w:t>
    </w:r>
    <w:r>
      <w:rPr>
        <w:rFonts w:hint="eastAsia"/>
      </w:rPr>
      <w:t>2</w: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pPr>
    <w:r>
      <w:fldChar w:fldCharType="begin"/>
    </w:r>
    <w:r>
      <w:instrText xml:space="preserve">HYPERLINK "http://www.gbsware.cn/"</w:instrText>
    </w:r>
    <w:r>
      <w:fldChar w:fldCharType="separate"/>
    </w:r>
    <w:r>
      <w:rPr>
        <w:rStyle w:val="25"/>
        <w:u w:val="none"/>
      </w:rPr>
      <w:t>http://www.gbsware.cn/</w:t>
    </w:r>
    <w:r>
      <w:rPr>
        <w:rStyle w:val="25"/>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10</w:t>
    </w:r>
    <w:r>
      <w:fldChar w:fldCharType="end"/>
    </w:r>
    <w:r>
      <w:tab/>
    </w:r>
    <w:r>
      <w:t>Dali</w: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9214"/>
        <w:tab w:val="clear" w:pos="8306"/>
      </w:tabs>
      <w:ind w:right="-1"/>
      <w:jc w:val="right"/>
      <w:rPr>
        <w:szCs w:val="21"/>
      </w:rPr>
    </w:pPr>
    <w:r>
      <w:rPr>
        <w:szCs w:val="21"/>
        <w:lang w:val="en-US"/>
      </w:rPr>
      <w:drawing>
        <wp:anchor distT="0" distB="0" distL="114300" distR="114300" simplePos="0" relativeHeight="251659264" behindDoc="0" locked="0" layoutInCell="1" allowOverlap="1">
          <wp:simplePos x="0" y="0"/>
          <wp:positionH relativeFrom="column">
            <wp:posOffset>61595</wp:posOffset>
          </wp:positionH>
          <wp:positionV relativeFrom="paragraph">
            <wp:posOffset>-80645</wp:posOffset>
          </wp:positionV>
          <wp:extent cx="1126490" cy="295275"/>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26490" cy="295275"/>
                  </a:xfrm>
                  <a:prstGeom prst="rect">
                    <a:avLst/>
                  </a:prstGeom>
                  <a:noFill/>
                </pic:spPr>
              </pic:pic>
            </a:graphicData>
          </a:graphic>
        </wp:anchor>
      </w:drawing>
    </w:r>
    <w:r>
      <w:rPr>
        <w:rFonts w:hint="eastAsia"/>
        <w:szCs w:val="21"/>
      </w:rPr>
      <w:t>公建内区采光分析报告书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21EB7E3B"/>
    <w:multiLevelType w:val="multilevel"/>
    <w:tmpl w:val="21EB7E3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F4515C8"/>
    <w:multiLevelType w:val="multilevel"/>
    <w:tmpl w:val="2F4515C8"/>
    <w:lvl w:ilvl="0" w:tentative="0">
      <w:start w:val="1"/>
      <w:numFmt w:val="bullet"/>
      <w:lvlText w:val=""/>
      <w:lvlJc w:val="left"/>
      <w:pPr>
        <w:ind w:left="420" w:hanging="420"/>
      </w:pPr>
      <w:rPr>
        <w:rFonts w:hint="default" w:ascii="Wingdings" w:hAnsi="Wingdings"/>
      </w:rPr>
    </w:lvl>
    <w:lvl w:ilvl="1" w:tentative="0">
      <w:start w:val="1"/>
      <w:numFmt w:val="decimal"/>
      <w:lvlText w:val="%2."/>
      <w:lvlJc w:val="left"/>
      <w:pPr>
        <w:tabs>
          <w:tab w:val="left" w:pos="958"/>
        </w:tabs>
        <w:ind w:left="958" w:hanging="360"/>
      </w:pPr>
    </w:lvl>
    <w:lvl w:ilvl="2" w:tentative="0">
      <w:start w:val="1"/>
      <w:numFmt w:val="decimal"/>
      <w:lvlText w:val="%3."/>
      <w:lvlJc w:val="left"/>
      <w:pPr>
        <w:tabs>
          <w:tab w:val="left" w:pos="1678"/>
        </w:tabs>
        <w:ind w:left="1678" w:hanging="360"/>
      </w:pPr>
    </w:lvl>
    <w:lvl w:ilvl="3" w:tentative="0">
      <w:start w:val="1"/>
      <w:numFmt w:val="decimal"/>
      <w:lvlText w:val="%4."/>
      <w:lvlJc w:val="left"/>
      <w:pPr>
        <w:tabs>
          <w:tab w:val="left" w:pos="2398"/>
        </w:tabs>
        <w:ind w:left="2398" w:hanging="360"/>
      </w:pPr>
    </w:lvl>
    <w:lvl w:ilvl="4" w:tentative="0">
      <w:start w:val="1"/>
      <w:numFmt w:val="decimal"/>
      <w:lvlText w:val="%5."/>
      <w:lvlJc w:val="left"/>
      <w:pPr>
        <w:tabs>
          <w:tab w:val="left" w:pos="3118"/>
        </w:tabs>
        <w:ind w:left="3118" w:hanging="360"/>
      </w:pPr>
    </w:lvl>
    <w:lvl w:ilvl="5" w:tentative="0">
      <w:start w:val="1"/>
      <w:numFmt w:val="decimal"/>
      <w:lvlText w:val="%6."/>
      <w:lvlJc w:val="left"/>
      <w:pPr>
        <w:tabs>
          <w:tab w:val="left" w:pos="3838"/>
        </w:tabs>
        <w:ind w:left="3838" w:hanging="360"/>
      </w:pPr>
    </w:lvl>
    <w:lvl w:ilvl="6" w:tentative="0">
      <w:start w:val="1"/>
      <w:numFmt w:val="decimal"/>
      <w:lvlText w:val="%7."/>
      <w:lvlJc w:val="left"/>
      <w:pPr>
        <w:tabs>
          <w:tab w:val="left" w:pos="4558"/>
        </w:tabs>
        <w:ind w:left="4558" w:hanging="360"/>
      </w:pPr>
    </w:lvl>
    <w:lvl w:ilvl="7" w:tentative="0">
      <w:start w:val="1"/>
      <w:numFmt w:val="decimal"/>
      <w:lvlText w:val="%8."/>
      <w:lvlJc w:val="left"/>
      <w:pPr>
        <w:tabs>
          <w:tab w:val="left" w:pos="5278"/>
        </w:tabs>
        <w:ind w:left="5278" w:hanging="360"/>
      </w:pPr>
    </w:lvl>
    <w:lvl w:ilvl="8" w:tentative="0">
      <w:start w:val="1"/>
      <w:numFmt w:val="decimal"/>
      <w:lvlText w:val="%9."/>
      <w:lvlJc w:val="left"/>
      <w:pPr>
        <w:tabs>
          <w:tab w:val="left" w:pos="5998"/>
        </w:tabs>
        <w:ind w:left="5998"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xZjJhMGE0N2ViODliNjJiOTRjNTMyMDQyZTQzMDUifQ=="/>
  </w:docVars>
  <w:rsids>
    <w:rsidRoot w:val="00B73682"/>
    <w:rsid w:val="000110B6"/>
    <w:rsid w:val="000346C1"/>
    <w:rsid w:val="00037A4C"/>
    <w:rsid w:val="000574BA"/>
    <w:rsid w:val="000631B3"/>
    <w:rsid w:val="00073D32"/>
    <w:rsid w:val="00075C7F"/>
    <w:rsid w:val="00080DCD"/>
    <w:rsid w:val="000819B3"/>
    <w:rsid w:val="00083664"/>
    <w:rsid w:val="000926EC"/>
    <w:rsid w:val="000935C4"/>
    <w:rsid w:val="00095CCC"/>
    <w:rsid w:val="000A6EC1"/>
    <w:rsid w:val="000D1936"/>
    <w:rsid w:val="000E3005"/>
    <w:rsid w:val="000E6B0C"/>
    <w:rsid w:val="000F1573"/>
    <w:rsid w:val="000F1B8F"/>
    <w:rsid w:val="000F7EF2"/>
    <w:rsid w:val="000F7FEF"/>
    <w:rsid w:val="001037D7"/>
    <w:rsid w:val="001048F7"/>
    <w:rsid w:val="00110F15"/>
    <w:rsid w:val="00111340"/>
    <w:rsid w:val="00122AE1"/>
    <w:rsid w:val="00137285"/>
    <w:rsid w:val="0014776A"/>
    <w:rsid w:val="00150077"/>
    <w:rsid w:val="001549CD"/>
    <w:rsid w:val="00175CC9"/>
    <w:rsid w:val="001811B7"/>
    <w:rsid w:val="001A213A"/>
    <w:rsid w:val="001B0B29"/>
    <w:rsid w:val="001E049F"/>
    <w:rsid w:val="001F30F9"/>
    <w:rsid w:val="001F3C0E"/>
    <w:rsid w:val="00203A7D"/>
    <w:rsid w:val="002229C1"/>
    <w:rsid w:val="00241D4E"/>
    <w:rsid w:val="0025362B"/>
    <w:rsid w:val="002555B8"/>
    <w:rsid w:val="00262313"/>
    <w:rsid w:val="002924EF"/>
    <w:rsid w:val="002A7369"/>
    <w:rsid w:val="002B151C"/>
    <w:rsid w:val="002C17A2"/>
    <w:rsid w:val="002C5F83"/>
    <w:rsid w:val="002C76A0"/>
    <w:rsid w:val="002D3626"/>
    <w:rsid w:val="002E7C19"/>
    <w:rsid w:val="002F257C"/>
    <w:rsid w:val="002F7398"/>
    <w:rsid w:val="0030437C"/>
    <w:rsid w:val="003121F7"/>
    <w:rsid w:val="003123FB"/>
    <w:rsid w:val="00314D29"/>
    <w:rsid w:val="003230C6"/>
    <w:rsid w:val="003308B0"/>
    <w:rsid w:val="0033176E"/>
    <w:rsid w:val="00352A28"/>
    <w:rsid w:val="00355840"/>
    <w:rsid w:val="003604D7"/>
    <w:rsid w:val="003642AC"/>
    <w:rsid w:val="00391E27"/>
    <w:rsid w:val="00393E2F"/>
    <w:rsid w:val="003A2B52"/>
    <w:rsid w:val="003A5353"/>
    <w:rsid w:val="003B4EFE"/>
    <w:rsid w:val="003C5FD5"/>
    <w:rsid w:val="003C7B94"/>
    <w:rsid w:val="003D0076"/>
    <w:rsid w:val="003D6AE2"/>
    <w:rsid w:val="003E33ED"/>
    <w:rsid w:val="003F66A9"/>
    <w:rsid w:val="0040698B"/>
    <w:rsid w:val="0040788E"/>
    <w:rsid w:val="0041096E"/>
    <w:rsid w:val="00413082"/>
    <w:rsid w:val="004140D8"/>
    <w:rsid w:val="00420B5F"/>
    <w:rsid w:val="00420CEE"/>
    <w:rsid w:val="0042654D"/>
    <w:rsid w:val="00426C2B"/>
    <w:rsid w:val="004315D3"/>
    <w:rsid w:val="00431AD1"/>
    <w:rsid w:val="00455D17"/>
    <w:rsid w:val="004608B2"/>
    <w:rsid w:val="0047512A"/>
    <w:rsid w:val="004839C8"/>
    <w:rsid w:val="00497264"/>
    <w:rsid w:val="004A044C"/>
    <w:rsid w:val="004D230F"/>
    <w:rsid w:val="004D449D"/>
    <w:rsid w:val="004F181A"/>
    <w:rsid w:val="005169D9"/>
    <w:rsid w:val="005215FB"/>
    <w:rsid w:val="005220BE"/>
    <w:rsid w:val="0053349C"/>
    <w:rsid w:val="005522A5"/>
    <w:rsid w:val="00553946"/>
    <w:rsid w:val="00555634"/>
    <w:rsid w:val="00555EF2"/>
    <w:rsid w:val="00560CD5"/>
    <w:rsid w:val="00564453"/>
    <w:rsid w:val="00573CF6"/>
    <w:rsid w:val="005755BA"/>
    <w:rsid w:val="0059143C"/>
    <w:rsid w:val="005A0064"/>
    <w:rsid w:val="005A44CA"/>
    <w:rsid w:val="005B290E"/>
    <w:rsid w:val="005B3ED9"/>
    <w:rsid w:val="005D14F5"/>
    <w:rsid w:val="005E06E4"/>
    <w:rsid w:val="005E6722"/>
    <w:rsid w:val="005F5BA5"/>
    <w:rsid w:val="005F76EF"/>
    <w:rsid w:val="00610D7E"/>
    <w:rsid w:val="0061137B"/>
    <w:rsid w:val="00613E7A"/>
    <w:rsid w:val="00616D08"/>
    <w:rsid w:val="0062034E"/>
    <w:rsid w:val="006224A3"/>
    <w:rsid w:val="006240DC"/>
    <w:rsid w:val="006254EA"/>
    <w:rsid w:val="00626696"/>
    <w:rsid w:val="00641795"/>
    <w:rsid w:val="006544F4"/>
    <w:rsid w:val="00654656"/>
    <w:rsid w:val="00671173"/>
    <w:rsid w:val="00680AB5"/>
    <w:rsid w:val="00694FCA"/>
    <w:rsid w:val="006B4857"/>
    <w:rsid w:val="006B628D"/>
    <w:rsid w:val="006C2054"/>
    <w:rsid w:val="006D360C"/>
    <w:rsid w:val="006F3B34"/>
    <w:rsid w:val="006F480A"/>
    <w:rsid w:val="006F66D3"/>
    <w:rsid w:val="00704059"/>
    <w:rsid w:val="00710269"/>
    <w:rsid w:val="00717B62"/>
    <w:rsid w:val="00720044"/>
    <w:rsid w:val="007705B5"/>
    <w:rsid w:val="00784B44"/>
    <w:rsid w:val="007859D0"/>
    <w:rsid w:val="007A2817"/>
    <w:rsid w:val="007A5E7D"/>
    <w:rsid w:val="007B6542"/>
    <w:rsid w:val="007C324F"/>
    <w:rsid w:val="007D2688"/>
    <w:rsid w:val="007E4D37"/>
    <w:rsid w:val="00801632"/>
    <w:rsid w:val="00802B5F"/>
    <w:rsid w:val="00806523"/>
    <w:rsid w:val="00810B33"/>
    <w:rsid w:val="00851F1D"/>
    <w:rsid w:val="00877E86"/>
    <w:rsid w:val="008806B5"/>
    <w:rsid w:val="008835CF"/>
    <w:rsid w:val="00883D6C"/>
    <w:rsid w:val="00897C01"/>
    <w:rsid w:val="008A54A0"/>
    <w:rsid w:val="008A6879"/>
    <w:rsid w:val="008C66D5"/>
    <w:rsid w:val="008D31F9"/>
    <w:rsid w:val="008D4BEC"/>
    <w:rsid w:val="008F0010"/>
    <w:rsid w:val="008F4000"/>
    <w:rsid w:val="00900FBF"/>
    <w:rsid w:val="0090340B"/>
    <w:rsid w:val="00905F94"/>
    <w:rsid w:val="009060E0"/>
    <w:rsid w:val="00930516"/>
    <w:rsid w:val="00933851"/>
    <w:rsid w:val="009363FF"/>
    <w:rsid w:val="00937198"/>
    <w:rsid w:val="009564BD"/>
    <w:rsid w:val="00975F79"/>
    <w:rsid w:val="00992A0E"/>
    <w:rsid w:val="009A15B5"/>
    <w:rsid w:val="009A6B0F"/>
    <w:rsid w:val="009C4AE6"/>
    <w:rsid w:val="009D2FDE"/>
    <w:rsid w:val="009E2515"/>
    <w:rsid w:val="009E6B81"/>
    <w:rsid w:val="009F5016"/>
    <w:rsid w:val="00A03C84"/>
    <w:rsid w:val="00A14013"/>
    <w:rsid w:val="00A32590"/>
    <w:rsid w:val="00A355BD"/>
    <w:rsid w:val="00A3571A"/>
    <w:rsid w:val="00A47443"/>
    <w:rsid w:val="00A90BB1"/>
    <w:rsid w:val="00A95E06"/>
    <w:rsid w:val="00A972F1"/>
    <w:rsid w:val="00AA3155"/>
    <w:rsid w:val="00AA47FE"/>
    <w:rsid w:val="00AB07F0"/>
    <w:rsid w:val="00AC3D9B"/>
    <w:rsid w:val="00AD0888"/>
    <w:rsid w:val="00AD149F"/>
    <w:rsid w:val="00AD2D17"/>
    <w:rsid w:val="00AD6FDC"/>
    <w:rsid w:val="00AF050E"/>
    <w:rsid w:val="00B364B6"/>
    <w:rsid w:val="00B41640"/>
    <w:rsid w:val="00B42709"/>
    <w:rsid w:val="00B4798E"/>
    <w:rsid w:val="00B55B22"/>
    <w:rsid w:val="00B60841"/>
    <w:rsid w:val="00B66227"/>
    <w:rsid w:val="00B73682"/>
    <w:rsid w:val="00B81209"/>
    <w:rsid w:val="00B82368"/>
    <w:rsid w:val="00B93C3A"/>
    <w:rsid w:val="00BB15C3"/>
    <w:rsid w:val="00BB3B23"/>
    <w:rsid w:val="00BB56AF"/>
    <w:rsid w:val="00BC1050"/>
    <w:rsid w:val="00BD2095"/>
    <w:rsid w:val="00BE4731"/>
    <w:rsid w:val="00C02585"/>
    <w:rsid w:val="00C257AB"/>
    <w:rsid w:val="00C27022"/>
    <w:rsid w:val="00C3168B"/>
    <w:rsid w:val="00C37F41"/>
    <w:rsid w:val="00C44808"/>
    <w:rsid w:val="00C63237"/>
    <w:rsid w:val="00C67778"/>
    <w:rsid w:val="00C72CFF"/>
    <w:rsid w:val="00C754A0"/>
    <w:rsid w:val="00C77185"/>
    <w:rsid w:val="00C8032E"/>
    <w:rsid w:val="00C85350"/>
    <w:rsid w:val="00C97E25"/>
    <w:rsid w:val="00CA19D9"/>
    <w:rsid w:val="00CA7AE3"/>
    <w:rsid w:val="00CB6248"/>
    <w:rsid w:val="00CC196B"/>
    <w:rsid w:val="00CC2453"/>
    <w:rsid w:val="00CD4869"/>
    <w:rsid w:val="00CE28AA"/>
    <w:rsid w:val="00CF6917"/>
    <w:rsid w:val="00D00758"/>
    <w:rsid w:val="00D0481B"/>
    <w:rsid w:val="00D062D7"/>
    <w:rsid w:val="00D0702D"/>
    <w:rsid w:val="00D15D78"/>
    <w:rsid w:val="00D20510"/>
    <w:rsid w:val="00D264C0"/>
    <w:rsid w:val="00D2702D"/>
    <w:rsid w:val="00D40158"/>
    <w:rsid w:val="00D43C46"/>
    <w:rsid w:val="00D60976"/>
    <w:rsid w:val="00D610FC"/>
    <w:rsid w:val="00D62A9A"/>
    <w:rsid w:val="00DC08B7"/>
    <w:rsid w:val="00DC73AD"/>
    <w:rsid w:val="00DD3C92"/>
    <w:rsid w:val="00DE39CD"/>
    <w:rsid w:val="00DE4E98"/>
    <w:rsid w:val="00DE7AB7"/>
    <w:rsid w:val="00DF470C"/>
    <w:rsid w:val="00E11010"/>
    <w:rsid w:val="00E12326"/>
    <w:rsid w:val="00E125AE"/>
    <w:rsid w:val="00E12AD1"/>
    <w:rsid w:val="00E22F3A"/>
    <w:rsid w:val="00E64F81"/>
    <w:rsid w:val="00E81ACD"/>
    <w:rsid w:val="00E950A3"/>
    <w:rsid w:val="00EB450B"/>
    <w:rsid w:val="00EB65C7"/>
    <w:rsid w:val="00EE0F57"/>
    <w:rsid w:val="00EF35E7"/>
    <w:rsid w:val="00EF7F71"/>
    <w:rsid w:val="00F0686F"/>
    <w:rsid w:val="00F13E37"/>
    <w:rsid w:val="00F26211"/>
    <w:rsid w:val="00F32066"/>
    <w:rsid w:val="00F51600"/>
    <w:rsid w:val="00F5305E"/>
    <w:rsid w:val="00F75DD1"/>
    <w:rsid w:val="00F959AF"/>
    <w:rsid w:val="00F972A6"/>
    <w:rsid w:val="00FA4B87"/>
    <w:rsid w:val="00FA6B1C"/>
    <w:rsid w:val="00FB7900"/>
    <w:rsid w:val="00FC0C11"/>
    <w:rsid w:val="00FF14DB"/>
    <w:rsid w:val="00FF2243"/>
    <w:rsid w:val="00FF259D"/>
    <w:rsid w:val="3E98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jc w:val="center"/>
    </w:pPr>
    <w:rPr>
      <w:rFonts w:ascii="微软雅黑" w:hAnsi="微软雅黑" w:eastAsia="微软雅黑" w:cs="微软雅黑"/>
      <w:sz w:val="21"/>
      <w:szCs w:val="21"/>
      <w:lang w:val="en-GB" w:eastAsia="zh-CN" w:bidi="ar-SA"/>
    </w:rPr>
  </w:style>
  <w:style w:type="paragraph" w:styleId="2">
    <w:name w:val="heading 1"/>
    <w:next w:val="3"/>
    <w:qFormat/>
    <w:uiPriority w:val="0"/>
    <w:pPr>
      <w:keepNext/>
      <w:numPr>
        <w:ilvl w:val="0"/>
        <w:numId w:val="1"/>
      </w:numPr>
      <w:kinsoku w:val="0"/>
      <w:spacing w:before="12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ind w:firstLine="200" w:firstLineChars="20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semiHidden/>
    <w:uiPriority w:val="0"/>
  </w:style>
  <w:style w:type="paragraph" w:styleId="14">
    <w:name w:val="Body Text Indent"/>
    <w:basedOn w:val="1"/>
    <w:link w:val="27"/>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semiHidden/>
    <w:qFormat/>
    <w:uiPriority w:val="0"/>
    <w:pPr>
      <w:tabs>
        <w:tab w:val="left" w:pos="900"/>
        <w:tab w:val="left" w:pos="1260"/>
        <w:tab w:val="right" w:leader="dot" w:pos="9360"/>
      </w:tabs>
      <w:ind w:left="210" w:firstLine="210" w:firstLineChars="100"/>
    </w:pPr>
    <w:rPr>
      <w:kern w:val="2"/>
      <w:szCs w:val="24"/>
      <w:lang w:val="en-US"/>
    </w:rPr>
  </w:style>
  <w:style w:type="paragraph" w:styleId="16">
    <w:name w:val="Balloon Text"/>
    <w:basedOn w:val="1"/>
    <w:semiHidden/>
    <w:qFormat/>
    <w:uiPriority w:val="0"/>
    <w:rPr>
      <w:szCs w:val="18"/>
    </w:rPr>
  </w:style>
  <w:style w:type="paragraph" w:styleId="17">
    <w:name w:val="footer"/>
    <w:basedOn w:val="1"/>
    <w:link w:val="34"/>
    <w:uiPriority w:val="0"/>
    <w:pPr>
      <w:tabs>
        <w:tab w:val="center" w:pos="4153"/>
        <w:tab w:val="right" w:pos="8306"/>
      </w:tabs>
    </w:pPr>
    <w:rPr>
      <w:szCs w:val="18"/>
    </w:rPr>
  </w:style>
  <w:style w:type="paragraph" w:styleId="18">
    <w:name w:val="header"/>
    <w:basedOn w:val="1"/>
    <w:link w:val="31"/>
    <w:uiPriority w:val="99"/>
    <w:pPr>
      <w:pBdr>
        <w:bottom w:val="single" w:color="auto" w:sz="6" w:space="1"/>
      </w:pBdr>
      <w:tabs>
        <w:tab w:val="center" w:pos="4153"/>
        <w:tab w:val="right" w:pos="8306"/>
      </w:tabs>
    </w:pPr>
    <w:rPr>
      <w:szCs w:val="18"/>
    </w:rPr>
  </w:style>
  <w:style w:type="paragraph" w:styleId="19">
    <w:name w:val="toc 1"/>
    <w:basedOn w:val="1"/>
    <w:next w:val="1"/>
    <w:semiHidden/>
    <w:uiPriority w:val="0"/>
    <w:pPr>
      <w:tabs>
        <w:tab w:val="left" w:leader="dot" w:pos="180"/>
        <w:tab w:val="left" w:pos="420"/>
        <w:tab w:val="right" w:leader="dot" w:pos="9360"/>
      </w:tabs>
    </w:pPr>
    <w:rPr>
      <w:b/>
      <w:bCs/>
      <w:kern w:val="2"/>
      <w:szCs w:val="24"/>
      <w:lang w:val="en-US"/>
    </w:rPr>
  </w:style>
  <w:style w:type="paragraph" w:styleId="20">
    <w:name w:val="toc 2"/>
    <w:basedOn w:val="1"/>
    <w:next w:val="1"/>
    <w:semiHidden/>
    <w:qFormat/>
    <w:uiPriority w:val="0"/>
    <w:pPr>
      <w:tabs>
        <w:tab w:val="left" w:pos="540"/>
        <w:tab w:val="left" w:pos="840"/>
        <w:tab w:val="right" w:leader="dot" w:pos="9360"/>
      </w:tabs>
      <w:ind w:left="200"/>
    </w:pPr>
    <w:rPr>
      <w:kern w:val="2"/>
      <w:szCs w:val="24"/>
      <w:lang w:val="en-US"/>
    </w:rPr>
  </w:style>
  <w:style w:type="paragraph" w:styleId="21">
    <w:name w:val="annotation subject"/>
    <w:basedOn w:val="13"/>
    <w:next w:val="13"/>
    <w:semiHidden/>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iPriority w:val="0"/>
    <w:rPr>
      <w:color w:val="0000FF"/>
      <w:u w:val="single"/>
    </w:rPr>
  </w:style>
  <w:style w:type="character" w:styleId="26">
    <w:name w:val="annotation reference"/>
    <w:semiHidden/>
    <w:qFormat/>
    <w:uiPriority w:val="0"/>
    <w:rPr>
      <w:sz w:val="21"/>
      <w:szCs w:val="21"/>
    </w:rPr>
  </w:style>
  <w:style w:type="character" w:customStyle="1" w:styleId="27">
    <w:name w:val="正文文本缩进 字符"/>
    <w:link w:val="14"/>
    <w:uiPriority w:val="0"/>
    <w:rPr>
      <w:rFonts w:ascii="宋体" w:hAnsi="宋体" w:eastAsia="宋体"/>
      <w:kern w:val="2"/>
      <w:sz w:val="24"/>
      <w:szCs w:val="24"/>
      <w:lang w:val="en-US" w:eastAsia="zh-CN" w:bidi="ar-SA"/>
    </w:rPr>
  </w:style>
  <w:style w:type="paragraph" w:customStyle="1" w:styleId="28">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29">
    <w:name w:val="Char Char2"/>
    <w:qFormat/>
    <w:locked/>
    <w:uiPriority w:val="0"/>
    <w:rPr>
      <w:rFonts w:ascii="宋体" w:hAnsi="宋体" w:eastAsia="宋体"/>
      <w:kern w:val="2"/>
      <w:sz w:val="24"/>
      <w:szCs w:val="24"/>
      <w:lang w:val="en-US" w:eastAsia="zh-CN" w:bidi="ar-SA"/>
    </w:rPr>
  </w:style>
  <w:style w:type="paragraph" w:customStyle="1" w:styleId="30">
    <w:name w:val="font5"/>
    <w:basedOn w:val="1"/>
    <w:uiPriority w:val="0"/>
    <w:pPr>
      <w:spacing w:before="100" w:beforeAutospacing="1" w:after="100" w:afterAutospacing="1"/>
    </w:pPr>
    <w:rPr>
      <w:rFonts w:ascii="宋体" w:hAnsi="宋体" w:cs="宋体"/>
      <w:szCs w:val="18"/>
      <w:lang w:val="en-US"/>
    </w:rPr>
  </w:style>
  <w:style w:type="character" w:customStyle="1" w:styleId="31">
    <w:name w:val="页眉 字符"/>
    <w:link w:val="18"/>
    <w:uiPriority w:val="99"/>
    <w:rPr>
      <w:sz w:val="18"/>
      <w:szCs w:val="18"/>
      <w:lang w:val="en-GB"/>
    </w:rPr>
  </w:style>
  <w:style w:type="character" w:customStyle="1" w:styleId="32">
    <w:name w:val="Char Char5"/>
    <w:qFormat/>
    <w:uiPriority w:val="0"/>
    <w:rPr>
      <w:rFonts w:ascii="宋体" w:hAnsi="宋体" w:eastAsia="宋体"/>
      <w:kern w:val="2"/>
      <w:sz w:val="24"/>
      <w:szCs w:val="24"/>
      <w:lang w:val="en-US" w:eastAsia="zh-CN" w:bidi="ar-SA"/>
    </w:rPr>
  </w:style>
  <w:style w:type="paragraph" w:styleId="33">
    <w:name w:val="List Paragraph"/>
    <w:basedOn w:val="1"/>
    <w:qFormat/>
    <w:uiPriority w:val="34"/>
    <w:pPr>
      <w:ind w:firstLine="420" w:firstLineChars="200"/>
    </w:pPr>
  </w:style>
  <w:style w:type="character" w:customStyle="1" w:styleId="34">
    <w:name w:val="页脚 字符"/>
    <w:link w:val="17"/>
    <w:uiPriority w:val="0"/>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wmf"/><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4FBA0-1249-44E5-B637-D525CBE71E9A}">
  <ds:schemaRefs/>
</ds:datastoreItem>
</file>

<file path=docProps/app.xml><?xml version="1.0" encoding="utf-8"?>
<Properties xmlns="http://schemas.openxmlformats.org/officeDocument/2006/extended-properties" xmlns:vt="http://schemas.openxmlformats.org/officeDocument/2006/docPropsVTypes">
  <Template>tmp7</Template>
  <Company>ths</Company>
  <Pages>8</Pages>
  <Words>2724</Words>
  <Characters>3427</Characters>
  <Lines>27</Lines>
  <Paragraphs>7</Paragraphs>
  <TotalTime>1</TotalTime>
  <ScaleCrop>false</ScaleCrop>
  <LinksUpToDate>false</LinksUpToDate>
  <CharactersWithSpaces>3491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2021-08-05T09:00:00Z</dcterms:created>
  <dc:creator>Windows 用户</dc:creator>
  <cp:lastModifiedBy>Administrator</cp:lastModifiedBy>
  <cp:lastPrinted>2411-12-31T16:00:00Z</cp:lastPrinted>
  <dcterms:modified xsi:type="dcterms:W3CDTF">2023-03-04T13:28:14Z</dcterms:modified>
  <dc:title>公建内区采光分析报告书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28E623ACDABF43779A0D6DFD7DCB552B</vt:lpwstr>
  </property>
</Properties>
</file>