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eastAsia" w:ascii="宋体" w:hAnsi="宋体" w:eastAsia="宋体"/>
                <w:szCs w:val="21"/>
                <w:lang w:val="en-US" w:eastAsia="zh-CN"/>
              </w:rPr>
            </w:pPr>
            <w:r>
              <w:rPr>
                <w:rFonts w:hint="eastAsia" w:ascii="宋体" w:hAnsi="宋体"/>
                <w:szCs w:val="21"/>
                <w:lang w:val="en-US" w:eastAsia="zh-CN"/>
              </w:rPr>
              <w:t>微藻生物研究中心</w:t>
            </w:r>
            <w:bookmarkStart w:id="27" w:name="_GoBack"/>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辽宁-大连</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5" w:name="报告日期"/>
            <w:r>
              <w:rPr>
                <w:rFonts w:hint="eastAsia" w:ascii="宋体" w:hAnsi="宋体"/>
                <w:szCs w:val="21"/>
              </w:rPr>
              <w:t>2022年12月16日</w:t>
            </w:r>
            <w:bookmarkEnd w:id="5"/>
          </w:p>
        </w:tc>
      </w:tr>
    </w:tbl>
    <w:p>
      <w:pPr>
        <w:jc w:val="center"/>
        <w:rPr>
          <w:rFonts w:ascii="宋体" w:hAnsi="宋体"/>
          <w:szCs w:val="18"/>
          <w:lang w:val="en-US"/>
        </w:rPr>
      </w:pPr>
    </w:p>
    <w:p>
      <w:pPr>
        <w:jc w:val="center"/>
        <w:rPr>
          <w:rFonts w:ascii="宋体" w:hAnsi="宋体"/>
          <w:bCs/>
          <w:szCs w:val="18"/>
        </w:rPr>
      </w:pPr>
      <w:bookmarkStart w:id="6" w:name="二维码"/>
      <w:bookmarkEnd w:id="6"/>
      <w: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t>斯维尔节能设计BECS2022</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20200923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T18641146767</w:t>
            </w:r>
            <w:bookmarkEnd w:id="9"/>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0" w:name="_Toc316568035"/>
      <w:r>
        <w:rPr>
          <w:rFonts w:hint="eastAsia"/>
        </w:rPr>
        <w:t>建筑概况</w:t>
      </w:r>
      <w:bookmarkEnd w:id="10"/>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1" w:name="工程名称"/>
            <w:r>
              <w:t>新建项目</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2" w:name="工程地点"/>
            <w:r>
              <w:t>辽宁-大连</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3" w:name="气候分区"/>
            <w:r>
              <w:t>寒冷A区</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4" w:name="地上建筑面积"/>
            <w:r>
              <w:rPr>
                <w:rFonts w:hint="eastAsia" w:ascii="宋体" w:hAnsi="宋体"/>
                <w:lang w:val="en-US"/>
              </w:rPr>
              <w:t>13653</w:t>
            </w:r>
            <w:bookmarkEnd w:id="14"/>
            <w:r>
              <w:rPr>
                <w:rFonts w:hint="eastAsia" w:ascii="宋体" w:hAnsi="宋体"/>
              </w:rPr>
              <w:t>㎡</w:t>
            </w:r>
            <w:r>
              <w:rPr>
                <w:rFonts w:hint="eastAsia" w:ascii="宋体" w:hAnsi="宋体"/>
                <w:lang w:val="en-US"/>
              </w:rPr>
              <w:t xml:space="preserve">    地下</w:t>
            </w:r>
            <w:bookmarkStart w:id="15" w:name="地下建筑面积"/>
            <w:r>
              <w:rPr>
                <w:rFonts w:hint="eastAsia" w:ascii="宋体" w:hAnsi="宋体"/>
                <w:lang w:val="en-US"/>
              </w:rPr>
              <w:t>0</w:t>
            </w:r>
            <w:bookmarkEnd w:id="15"/>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6" w:name="地上建筑层数"/>
            <w:r>
              <w:rPr>
                <w:rFonts w:hint="eastAsia" w:ascii="宋体" w:hAnsi="宋体"/>
                <w:lang w:val="en-US"/>
              </w:rPr>
              <w:t>4</w:t>
            </w:r>
            <w:bookmarkEnd w:id="16"/>
            <w:r>
              <w:rPr>
                <w:rFonts w:hint="eastAsia" w:ascii="宋体" w:hAnsi="宋体"/>
                <w:lang w:val="en-US"/>
              </w:rPr>
              <w:t xml:space="preserve">          地下</w:t>
            </w:r>
            <w:bookmarkStart w:id="17" w:name="地下建筑层数"/>
            <w: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8" w:name="地上建筑高度"/>
            <w:r>
              <w:rPr>
                <w:rFonts w:hint="eastAsia" w:ascii="宋体" w:hAnsi="宋体"/>
                <w:lang w:val="en-US"/>
              </w:rPr>
              <w:t>20.4</w:t>
            </w:r>
            <w:bookmarkEnd w:id="18"/>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9" w:name="结构类型"/>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0" w:name="累年最低日平均温度"/>
            <w:r>
              <w:t>-16.3</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采暖期室外计算温度"/>
            <w:r>
              <w:t>-9.0</w:t>
            </w:r>
            <w:bookmarkEnd w:id="21"/>
          </w:p>
        </w:tc>
      </w:tr>
    </w:tbl>
    <w:p>
      <w:pPr>
        <w:pStyle w:val="2"/>
      </w:pPr>
      <w:bookmarkStart w:id="22" w:name="_Toc316568036"/>
      <w:bookmarkStart w:id="23" w:name="TitleFormat"/>
      <w:r>
        <w:rPr>
          <w:rFonts w:hint="eastAsia"/>
        </w:rPr>
        <w:t>评价依据</w:t>
      </w:r>
      <w:bookmarkEnd w:id="22"/>
    </w:p>
    <w:bookmarkEnd w:id="23"/>
    <w:p>
      <w:pPr>
        <w:widowControl w:val="0"/>
        <w:jc w:val="both"/>
        <w:rPr>
          <w:kern w:val="2"/>
          <w:szCs w:val="24"/>
          <w:lang w:val="en-US"/>
        </w:rPr>
      </w:pPr>
      <w:r>
        <w:rPr>
          <w:rFonts w:hint="eastAsia"/>
          <w:kern w:val="2"/>
          <w:szCs w:val="24"/>
          <w:lang w:val="en-US"/>
        </w:rPr>
        <w:t xml:space="preserve">1. </w:t>
      </w:r>
      <w:bookmarkStart w:id="24" w:name="标准名称"/>
      <w:r>
        <w:rPr>
          <w:rFonts w:hint="eastAsia"/>
          <w:kern w:val="2"/>
          <w:szCs w:val="24"/>
          <w:lang w:val="en-US"/>
        </w:rPr>
        <w:t>《公共建筑节能设计标准》GB50189-2015</w:t>
      </w:r>
      <w:bookmarkEnd w:id="24"/>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 xml:space="preserve">3. </w:t>
      </w:r>
      <w:bookmarkStart w:id="25" w:name="地方绿建评价标准"/>
      <w:r>
        <w:rPr>
          <w:rFonts w:hint="eastAsia"/>
          <w:kern w:val="2"/>
          <w:szCs w:val="24"/>
          <w:lang w:val="en-US"/>
        </w:rPr>
        <w:t>《绿色建筑评价标准》GB/T 50378-2019</w:t>
      </w:r>
      <w:bookmarkEnd w:id="25"/>
    </w:p>
    <w:p>
      <w:pPr>
        <w:widowControl w:val="0"/>
        <w:jc w:val="both"/>
        <w:rPr>
          <w:kern w:val="2"/>
          <w:lang w:val="en-US"/>
        </w:rPr>
      </w:pPr>
      <w:r>
        <w:rPr>
          <w:rFonts w:hint="eastAsia"/>
          <w:kern w:val="2"/>
          <w:szCs w:val="24"/>
          <w:lang w:val="en-US"/>
        </w:rPr>
        <w:t>4. 《绿色建筑评价技术细则》</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6" w:name="地方绿建评价标准：1"/>
      <w:r>
        <w:rPr>
          <w:rFonts w:ascii="宋体" w:hAnsi="宋体"/>
          <w:kern w:val="2"/>
          <w:szCs w:val="21"/>
          <w:lang w:val="en-US"/>
        </w:rPr>
        <w:t>《绿色建筑评价标准》GB/T 50378-2019</w:t>
      </w:r>
      <w:bookmarkEnd w:id="26"/>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辽宁-大连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-16.30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混合砂浆L</w:t>
            </w:r>
          </w:p>
        </w:tc>
        <w:tc>
          <w:tcPr>
            <w:vAlign w:val="center"/>
          </w:tcPr>
          <w:p>
            <w:r>
              <w:t>20</w:t>
            </w:r>
          </w:p>
        </w:tc>
        <w:tc>
          <w:tcPr>
            <w:vAlign w:val="center"/>
          </w:tcPr>
          <w:p>
            <w:r>
              <w:t>0.870</w:t>
            </w:r>
          </w:p>
        </w:tc>
        <w:tc>
          <w:tcPr>
            <w:vAlign w:val="center"/>
          </w:tcPr>
          <w:p>
            <w:r>
              <w:t>10.627</w:t>
            </w:r>
          </w:p>
        </w:tc>
        <w:tc>
          <w:tcPr>
            <w:vAlign w:val="center"/>
          </w:tcPr>
          <w:p>
            <w:r>
              <w:t>0.023</w:t>
            </w:r>
          </w:p>
        </w:tc>
        <w:tc>
          <w:tcPr>
            <w:vAlign w:val="center"/>
          </w:tcPr>
          <w:p>
            <w: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硬泡聚氨酯板PUR（ρ≥35）</w:t>
            </w:r>
          </w:p>
        </w:tc>
        <w:tc>
          <w:tcPr>
            <w:vAlign w:val="center"/>
          </w:tcPr>
          <w:p>
            <w:r>
              <w:t>20</w:t>
            </w:r>
          </w:p>
        </w:tc>
        <w:tc>
          <w:tcPr>
            <w:vAlign w:val="center"/>
          </w:tcPr>
          <w:p>
            <w:r>
              <w:t>0.024</w:t>
            </w:r>
          </w:p>
        </w:tc>
        <w:tc>
          <w:tcPr>
            <w:vAlign w:val="center"/>
          </w:tcPr>
          <w:p>
            <w:r>
              <w:t>4.293</w:t>
            </w:r>
          </w:p>
        </w:tc>
        <w:tc>
          <w:tcPr>
            <w:vAlign w:val="center"/>
          </w:tcPr>
          <w:p>
            <w:r>
              <w:t>0.833</w:t>
            </w:r>
          </w:p>
        </w:tc>
        <w:tc>
          <w:tcPr>
            <w:vAlign w:val="center"/>
          </w:tcPr>
          <w:p>
            <w:r>
              <w:t>3.578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-14.11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-14.11.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5240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1524000"/>
                          </a:xfrm>
                          <a:prstGeom prst="rect">
                            <a:avLst/>
                          </a:prstGeom>
                        </pic:spPr>
                      </pic:pic>
                    </a:graphicData>
                  </a:graphic>
                </wp:inline>
              </w:drawing>
            </w:r>
          </w:p>
        </w:tc>
        <w:tc>
          <w:tcPr>
            <w:vAlign w:val="center"/>
          </w:tcPr>
          <w:p>
            <w: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7145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1714500"/>
                          </a:xfrm>
                          <a:prstGeom prst="rect">
                            <a:avLst/>
                          </a:prstGeom>
                        </pic:spPr>
                      </pic:pic>
                    </a:graphicData>
                  </a:graphic>
                </wp:inline>
              </w:drawing>
            </w:r>
          </w:p>
        </w:tc>
        <w:tc>
          <w:tcPr>
            <w:vAlign w:val="center"/>
          </w:tcPr>
          <w:p>
            <w: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-11.92.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外墙－凹墙角(OW-C2)节点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-11.92.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-11.92.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外墙－挑空楼板(OW-FW2)节点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te=te.min</w:t>
            </w:r>
          </w:p>
        </w:tc>
        <w:tc>
          <w:tcPr>
            <w:vAlign w:val="center"/>
          </w:tcPr>
          <w:p>
            <w:r>
              <w:t>-16.30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-16.30.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7336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7"/>
                          <a:stretch>
                            <a:fillRect/>
                          </a:stretch>
                        </pic:blipFill>
                        <pic:spPr>
                          <a:xfrm>
                            <a:off x="0" y="0"/>
                            <a:ext cx="2962275" cy="2733675"/>
                          </a:xfrm>
                          <a:prstGeom prst="rect">
                            <a:avLst/>
                          </a:prstGeom>
                        </pic:spPr>
                      </pic:pic>
                    </a:graphicData>
                  </a:graphic>
                </wp:inline>
              </w:drawing>
            </w:r>
          </w:p>
        </w:tc>
        <w:tc>
          <w:tcPr>
            <w:vAlign w:val="center"/>
          </w:tcPr>
          <w:p>
            <w:r>
              <w:drawing>
                <wp:inline distT="0" distB="0" distL="0" distR="0">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承重空心砖墙L</w:t>
            </w:r>
          </w:p>
        </w:tc>
        <w:tc>
          <w:tcPr>
            <w:vAlign w:val="center"/>
          </w:tcPr>
          <w:p>
            <w:r>
              <w:t>200</w:t>
            </w:r>
          </w:p>
        </w:tc>
        <w:tc>
          <w:tcPr>
            <w:vAlign w:val="center"/>
          </w:tcPr>
          <w:p>
            <w:r>
              <w:t>0.580</w:t>
            </w:r>
          </w:p>
        </w:tc>
        <w:tc>
          <w:tcPr>
            <w:vAlign w:val="center"/>
          </w:tcPr>
          <w:p>
            <w:r>
              <w:t>8.928</w:t>
            </w:r>
          </w:p>
        </w:tc>
        <w:tc>
          <w:tcPr>
            <w:vAlign w:val="center"/>
          </w:tcPr>
          <w:p>
            <w:r>
              <w:t>0.345</w:t>
            </w:r>
          </w:p>
        </w:tc>
        <w:tc>
          <w:tcPr>
            <w:vAlign w:val="center"/>
          </w:tcPr>
          <w:p>
            <w:r>
              <w:t>3.079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岩棉保温板（ρ≥140）</w:t>
            </w:r>
          </w:p>
        </w:tc>
        <w:tc>
          <w:tcPr>
            <w:vAlign w:val="center"/>
          </w:tcPr>
          <w:p>
            <w:r>
              <w:t>120</w:t>
            </w:r>
          </w:p>
        </w:tc>
        <w:tc>
          <w:tcPr>
            <w:vAlign w:val="center"/>
          </w:tcPr>
          <w:p>
            <w:r>
              <w:t>0.040</w:t>
            </w:r>
          </w:p>
        </w:tc>
        <w:tc>
          <w:tcPr>
            <w:vAlign w:val="center"/>
          </w:tcPr>
          <w:p>
            <w:r>
              <w:t>0.428</w:t>
            </w:r>
          </w:p>
        </w:tc>
        <w:tc>
          <w:tcPr>
            <w:vAlign w:val="center"/>
          </w:tcPr>
          <w:p>
            <w:r>
              <w:t>3.000</w:t>
            </w:r>
          </w:p>
        </w:tc>
        <w:tc>
          <w:tcPr>
            <w:vAlign w:val="center"/>
          </w:tcPr>
          <w:p>
            <w:r>
              <w:t>1.284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te=0.6tw+0.4te.min</w:t>
            </w:r>
          </w:p>
        </w:tc>
        <w:tc>
          <w:tcPr>
            <w:vAlign w:val="center"/>
          </w:tcPr>
          <w:p>
            <w:r>
              <w:t>-11.92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-11.92.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2193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9"/>
                          <a:stretch>
                            <a:fillRect/>
                          </a:stretch>
                        </pic:blipFill>
                        <pic:spPr>
                          <a:xfrm>
                            <a:off x="0" y="0"/>
                            <a:ext cx="2962275" cy="2219325"/>
                          </a:xfrm>
                          <a:prstGeom prst="rect">
                            <a:avLst/>
                          </a:prstGeom>
                        </pic:spPr>
                      </pic:pic>
                    </a:graphicData>
                  </a:graphic>
                </wp:inline>
              </w:drawing>
            </w:r>
          </w:p>
        </w:tc>
        <w:tc>
          <w:tcPr>
            <w:vAlign w:val="center"/>
          </w:tcPr>
          <w:p>
            <w:r>
              <w:drawing>
                <wp:inline distT="0" distB="0" distL="0" distR="0">
                  <wp:extent cx="2962275" cy="17240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0"/>
                          <a:stretch>
                            <a:fillRect/>
                          </a:stretch>
                        </pic:blipFill>
                        <pic:spPr>
                          <a:xfrm>
                            <a:off x="0" y="0"/>
                            <a:ext cx="2962275" cy="17240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lang w:val="en-US"/>
        </w:rPr>
      </w:pPr>
      <w:r>
        <w:rPr>
          <w:kern w:val="2"/>
          <w:szCs w:val="21"/>
          <w:lang w:val="en-US"/>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471"/>
        <w:gridCol w:w="1799"/>
        <w:gridCol w:w="1709"/>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围护结构热惰性D</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外墙－屋顶</w:t>
            </w:r>
          </w:p>
        </w:tc>
        <w:tc>
          <w:tcPr>
            <w:vAlign w:val="center"/>
          </w:tcPr>
          <w:p>
            <w:r>
              <w:t>OW-R2</w:t>
            </w:r>
          </w:p>
        </w:tc>
        <w:tc>
          <w:tcPr>
            <w:vAlign w:val="center"/>
          </w:tcPr>
          <w:p>
            <w:r>
              <w:t>3.82</w:t>
            </w:r>
          </w:p>
        </w:tc>
        <w:tc>
          <w:tcPr>
            <w:vAlign w:val="center"/>
          </w:tcPr>
          <w:p>
            <w:r>
              <w:t>-14.11</w:t>
            </w:r>
          </w:p>
        </w:tc>
        <w:tc>
          <w:tcPr>
            <w:vAlign w:val="center"/>
          </w:tcPr>
          <w:p>
            <w:r>
              <w:t>12.29</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外墙－窗左右口</w:t>
            </w:r>
          </w:p>
        </w:tc>
        <w:tc>
          <w:tcPr>
            <w:vAlign w:val="center"/>
          </w:tcPr>
          <w:p>
            <w:r>
              <w:t>OW-WR4</w:t>
            </w:r>
          </w:p>
        </w:tc>
        <w:tc>
          <w:tcPr>
            <w:vAlign w:val="center"/>
          </w:tcPr>
          <w:p>
            <w:r>
              <w:t>4.36</w:t>
            </w:r>
          </w:p>
        </w:tc>
        <w:tc>
          <w:tcPr>
            <w:vAlign w:val="center"/>
          </w:tcPr>
          <w:p>
            <w:r>
              <w:t>-11.92</w:t>
            </w:r>
          </w:p>
        </w:tc>
        <w:tc>
          <w:tcPr>
            <w:vAlign w:val="center"/>
          </w:tcPr>
          <w:p>
            <w:r>
              <w:t>12.80</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外墙－窗上口</w:t>
            </w:r>
          </w:p>
        </w:tc>
        <w:tc>
          <w:tcPr>
            <w:vAlign w:val="center"/>
          </w:tcPr>
          <w:p>
            <w:r>
              <w:t>OW-WU4</w:t>
            </w:r>
          </w:p>
        </w:tc>
        <w:tc>
          <w:tcPr>
            <w:vAlign w:val="center"/>
          </w:tcPr>
          <w:p>
            <w:r>
              <w:t>4.36</w:t>
            </w:r>
          </w:p>
        </w:tc>
        <w:tc>
          <w:tcPr>
            <w:vAlign w:val="center"/>
          </w:tcPr>
          <w:p>
            <w:r>
              <w:t>-11.92</w:t>
            </w:r>
          </w:p>
        </w:tc>
        <w:tc>
          <w:tcPr>
            <w:vAlign w:val="center"/>
          </w:tcPr>
          <w:p>
            <w:r>
              <w:t>12.79</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外墙－窗下口</w:t>
            </w:r>
          </w:p>
        </w:tc>
        <w:tc>
          <w:tcPr>
            <w:vAlign w:val="center"/>
          </w:tcPr>
          <w:p>
            <w:r>
              <w:t>OW-WB8</w:t>
            </w:r>
          </w:p>
        </w:tc>
        <w:tc>
          <w:tcPr>
            <w:vAlign w:val="center"/>
          </w:tcPr>
          <w:p>
            <w:r>
              <w:t>4.36</w:t>
            </w:r>
          </w:p>
        </w:tc>
        <w:tc>
          <w:tcPr>
            <w:vAlign w:val="center"/>
          </w:tcPr>
          <w:p>
            <w:r>
              <w:t>-11.92</w:t>
            </w:r>
          </w:p>
        </w:tc>
        <w:tc>
          <w:tcPr>
            <w:vAlign w:val="center"/>
          </w:tcPr>
          <w:p>
            <w:r>
              <w:t>12.79</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外墙－凸墙角</w:t>
            </w:r>
          </w:p>
        </w:tc>
        <w:tc>
          <w:tcPr>
            <w:vAlign w:val="center"/>
          </w:tcPr>
          <w:p>
            <w:r>
              <w:t>OW-C1</w:t>
            </w:r>
          </w:p>
        </w:tc>
        <w:tc>
          <w:tcPr>
            <w:vAlign w:val="center"/>
          </w:tcPr>
          <w:p>
            <w:r>
              <w:t>4.36</w:t>
            </w:r>
          </w:p>
        </w:tc>
        <w:tc>
          <w:tcPr>
            <w:vAlign w:val="center"/>
          </w:tcPr>
          <w:p>
            <w:r>
              <w:t>-11.92</w:t>
            </w:r>
          </w:p>
        </w:tc>
        <w:tc>
          <w:tcPr>
            <w:vAlign w:val="center"/>
          </w:tcPr>
          <w:p>
            <w:r>
              <w:t>15.45</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外墙－凹墙角</w:t>
            </w:r>
          </w:p>
        </w:tc>
        <w:tc>
          <w:tcPr>
            <w:vAlign w:val="center"/>
          </w:tcPr>
          <w:p>
            <w:r>
              <w:t>OW-C2</w:t>
            </w:r>
          </w:p>
        </w:tc>
        <w:tc>
          <w:tcPr>
            <w:vAlign w:val="center"/>
          </w:tcPr>
          <w:p>
            <w:r>
              <w:t>4.36</w:t>
            </w:r>
          </w:p>
        </w:tc>
        <w:tc>
          <w:tcPr>
            <w:vAlign w:val="center"/>
          </w:tcPr>
          <w:p>
            <w:r>
              <w:t>-11.92</w:t>
            </w:r>
          </w:p>
        </w:tc>
        <w:tc>
          <w:tcPr>
            <w:vAlign w:val="center"/>
          </w:tcPr>
          <w:p>
            <w:r>
              <w:t>15.45</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外墙－楼板</w:t>
            </w:r>
          </w:p>
        </w:tc>
        <w:tc>
          <w:tcPr>
            <w:vAlign w:val="center"/>
          </w:tcPr>
          <w:p>
            <w:r>
              <w:t>OW-F1</w:t>
            </w:r>
          </w:p>
        </w:tc>
        <w:tc>
          <w:tcPr>
            <w:vAlign w:val="center"/>
          </w:tcPr>
          <w:p>
            <w:r>
              <w:t>4.36</w:t>
            </w:r>
          </w:p>
        </w:tc>
        <w:tc>
          <w:tcPr>
            <w:vAlign w:val="center"/>
          </w:tcPr>
          <w:p>
            <w:r>
              <w:t>-11.92</w:t>
            </w:r>
          </w:p>
        </w:tc>
        <w:tc>
          <w:tcPr>
            <w:vAlign w:val="center"/>
          </w:tcPr>
          <w:p>
            <w:r>
              <w:t>16.93</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外墙－挑空楼板</w:t>
            </w:r>
          </w:p>
        </w:tc>
        <w:tc>
          <w:tcPr>
            <w:vAlign w:val="center"/>
          </w:tcPr>
          <w:p>
            <w:r>
              <w:t>OW-FW2</w:t>
            </w:r>
          </w:p>
        </w:tc>
        <w:tc>
          <w:tcPr>
            <w:vAlign w:val="center"/>
          </w:tcPr>
          <w:p>
            <w:r>
              <w:t>1.41</w:t>
            </w:r>
          </w:p>
        </w:tc>
        <w:tc>
          <w:tcPr>
            <w:vAlign w:val="center"/>
          </w:tcPr>
          <w:p>
            <w:r>
              <w:t>-16.30</w:t>
            </w:r>
          </w:p>
        </w:tc>
        <w:tc>
          <w:tcPr>
            <w:vAlign w:val="center"/>
          </w:tcPr>
          <w:p>
            <w:r>
              <w:t>12.79</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外墙－内隔墙</w:t>
            </w:r>
          </w:p>
        </w:tc>
        <w:tc>
          <w:tcPr>
            <w:vAlign w:val="center"/>
          </w:tcPr>
          <w:p>
            <w:r>
              <w:t>OW-P1</w:t>
            </w:r>
          </w:p>
        </w:tc>
        <w:tc>
          <w:tcPr>
            <w:vAlign w:val="center"/>
          </w:tcPr>
          <w:p>
            <w:r>
              <w:t>4.36</w:t>
            </w:r>
          </w:p>
        </w:tc>
        <w:tc>
          <w:tcPr>
            <w:vAlign w:val="center"/>
          </w:tcPr>
          <w:p>
            <w:r>
              <w:t>-11.92</w:t>
            </w:r>
          </w:p>
        </w:tc>
        <w:tc>
          <w:tcPr>
            <w:vAlign w:val="center"/>
          </w:tcPr>
          <w:p>
            <w:r>
              <w:t>16.99</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docVars>
    <w:docVar w:name="commondata" w:val="eyJoZGlkIjoiYWMwMTM2MzJlZmY2NDFjNzg3NDUwYzRlZDM4YWE5NzQifQ=="/>
  </w:docVars>
  <w:rsids>
    <w:rsidRoot w:val="00217F62"/>
    <w:rsid w:val="001915A3"/>
    <w:rsid w:val="00217F62"/>
    <w:rsid w:val="00A906D8"/>
    <w:rsid w:val="00AB5A74"/>
    <w:rsid w:val="00F071AE"/>
    <w:rsid w:val="10200B88"/>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bmp"/><Relationship Id="rId23" Type="http://schemas.openxmlformats.org/officeDocument/2006/relationships/image" Target="media/image9.bmp"/><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结露检查计算书.dotx</Template>
  <Company>ths</Company>
  <Pages>10</Pages>
  <Words>2369</Words>
  <Characters>4024</Characters>
  <Lines>8</Lines>
  <Paragraphs>2</Paragraphs>
  <TotalTime>12</TotalTime>
  <ScaleCrop>false</ScaleCrop>
  <LinksUpToDate>false</LinksUpToDate>
  <CharactersWithSpaces>4086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2017-08-17T06:40:00Z</dcterms:created>
  <dc:creator>wxk</dc:creator>
  <cp:lastModifiedBy>S</cp:lastModifiedBy>
  <cp:lastPrinted>2411-12-31T16:00:00Z</cp:lastPrinted>
  <dcterms:modified xsi:type="dcterms:W3CDTF">2022-12-18T02:23:01Z</dcterms:modified>
  <dc:title>结露检查计算书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FDD27C7EEA494A8C8C4FFFA8F38493D6</vt:lpwstr>
  </property>
</Properties>
</file>