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bdr w:val="none" w:color="auto" w:sz="0" w:space="0"/>
        </w:rPr>
      </w:pPr>
      <w:r>
        <w:rPr>
          <w:bdr w:val="none" w:color="auto" w:sz="0" w:space="0"/>
        </w:rPr>
        <w:t>当遭受低于本地区抗震设防烈度的多遇地震影响时，主体结构不受损坏或不需修理可继续使用（小震不坏）；当遭受相当于本地区抗震设防烈度的设防地震影响时，可能发生损坏，但经一般性修理仍可继续使用（中震可修）;当遭受高于本地区抗震设防烈度的罕遇地震影响时，不致倒塌或发生危及生命的严重破坏（大震不倒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Theme="minorEastAsia"/>
          <w:bdr w:val="none" w:color="auto" w:sz="0" w:space="0"/>
          <w:lang w:eastAsia="zh-CN"/>
        </w:rPr>
      </w:pPr>
      <w:r>
        <w:rPr>
          <w:rFonts w:hint="eastAsia" w:eastAsiaTheme="minorEastAsia"/>
          <w:bdr w:val="none" w:color="auto" w:sz="0" w:space="0"/>
          <w:lang w:eastAsia="zh-CN"/>
        </w:rPr>
        <w:drawing>
          <wp:inline distT="0" distB="0" distL="114300" distR="114300">
            <wp:extent cx="5266690" cy="2019300"/>
            <wp:effectExtent l="0" t="0" r="6350" b="7620"/>
            <wp:docPr id="1" name="图片 1" descr="51466d67c5e1d5d781cbae97cdb84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466d67c5e1d5d781cbae97cdb84d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历次地震证明，我国地震区划图所规定的烈度有很大的不确定性，抗震设计还处在摸索阶段，地震理论还有待完善，地震也是对结构抗震设防的最好检验。汶川地震表明，严格按现行规范进行设计、施工和使用的建筑，在遭遇比当地设防烈度高一度的地震作用时，没有出现倒塌破坏，也验证了“大震不倒”设防目标的正确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mJlNTZlNzA1ODJmNjNjZmQ1MDBkOWNiOGY1M2QifQ=="/>
  </w:docVars>
  <w:rsids>
    <w:rsidRoot w:val="00000000"/>
    <w:rsid w:val="5347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2023-03-05T15:30:43Z</dcterms:created>
  <dc:creator>Lenovo</dc:creator>
  <cp:lastModifiedBy>尹莉雯惠</cp:lastModifiedBy>
  <dcterms:modified xsi:type="dcterms:W3CDTF">2023-03-05T15:31:18Z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66B023888B564EACA30C526D5B17326A</vt:lpwstr>
  </property>
</Properties>
</file>