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p>
      <w:pPr>
        <w:spacing w:before="312" w:beforeLines="100" w:line="180" w:lineRule="atLeast"/>
        <w:jc w:val="center"/>
        <w:rPr>
          <w:rFonts w:hint="eastAsia" w:ascii="微软雅黑" w:hAnsi="微软雅黑" w:eastAsia="微软雅黑" w:cs="微软雅黑"/>
          <w:bCs/>
          <w:sz w:val="44"/>
          <w:szCs w:val="44"/>
          <w:lang w:val="en-US"/>
        </w:rPr>
      </w:pPr>
      <w:bookmarkStart w:id="1" w:name="地区"/>
      <w:r>
        <w:rPr>
          <w:rFonts w:hint="eastAsia" w:ascii="微软雅黑" w:hAnsi="微软雅黑" w:eastAsia="微软雅黑" w:cs="微软雅黑"/>
          <w:bCs/>
          <w:sz w:val="44"/>
          <w:szCs w:val="44"/>
          <w:lang w:val="en-US"/>
        </w:rPr>
        <w:t>公共建筑</w:t>
      </w:r>
      <w:bookmarkEnd w:id="1"/>
    </w:p>
    <w:p>
      <w:pPr>
        <w:spacing w:line="180" w:lineRule="atLeast"/>
        <w:jc w:val="center"/>
        <w:rPr>
          <w:rFonts w:hint="eastAsia" w:ascii="微软雅黑" w:hAnsi="微软雅黑" w:eastAsia="微软雅黑" w:cs="微软雅黑"/>
          <w:bCs/>
          <w:sz w:val="32"/>
          <w:szCs w:val="32"/>
          <w:lang w:val="en-US"/>
        </w:rPr>
      </w:pPr>
      <w:r>
        <w:rPr>
          <w:rFonts w:hint="eastAsia" w:ascii="微软雅黑" w:hAnsi="微软雅黑" w:eastAsia="微软雅黑" w:cs="微软雅黑"/>
          <w:bCs/>
          <w:sz w:val="32"/>
          <w:szCs w:val="32"/>
          <w:lang w:val="en-US"/>
        </w:rPr>
        <w:t xml:space="preserve">甲类 </w:t>
      </w:r>
      <w:bookmarkStart w:id="2" w:name="主被动建筑类型"/>
      <w:bookmarkEnd w:id="2"/>
      <w:r>
        <w:rPr>
          <w:rFonts w:hint="eastAsia" w:ascii="微软雅黑" w:hAnsi="微软雅黑" w:eastAsia="微软雅黑" w:cs="微软雅黑"/>
          <w:bCs/>
          <w:sz w:val="32"/>
          <w:szCs w:val="32"/>
          <w:lang w:val="en-US"/>
        </w:rPr>
        <w:t xml:space="preserve"> </w:t>
      </w:r>
      <w:bookmarkStart w:id="3" w:name="建筑供暖空调方式"/>
      <w:bookmarkEnd w:id="3"/>
    </w:p>
    <w:p>
      <w:pPr>
        <w:spacing w:line="180" w:lineRule="atLeast"/>
        <w:jc w:val="center"/>
        <w:rPr>
          <w:rFonts w:ascii="宋体" w:hAnsi="宋体"/>
          <w:b/>
          <w:bCs/>
          <w:sz w:val="36"/>
          <w:szCs w:val="36"/>
          <w:lang w:val="en-US"/>
        </w:rPr>
      </w:pPr>
    </w:p>
    <w:p>
      <w:pPr>
        <w:spacing w:line="180" w:lineRule="atLeast"/>
        <w:jc w:val="center"/>
        <w:rPr>
          <w:rFonts w:ascii="宋体" w:hAnsi="宋体"/>
          <w:b/>
          <w:bCs/>
          <w:sz w:val="36"/>
          <w:szCs w:val="36"/>
          <w:lang w:val="en-US"/>
        </w:rPr>
      </w:pPr>
    </w:p>
    <w:p>
      <w:pPr>
        <w:spacing w:line="180" w:lineRule="atLeast"/>
        <w:jc w:val="both"/>
        <w:rPr>
          <w:rFonts w:ascii="宋体" w:hAnsi="宋体"/>
          <w:b/>
          <w:bCs/>
          <w:sz w:val="36"/>
          <w:szCs w:val="36"/>
          <w:lang w:val="en-US"/>
        </w:rPr>
      </w:pPr>
    </w:p>
    <w:p>
      <w:pPr>
        <w:spacing w:line="180" w:lineRule="atLeast"/>
        <w:jc w:val="center"/>
        <w:rPr>
          <w:rFonts w:ascii="宋体" w:hAnsi="宋体"/>
          <w:b/>
          <w:bCs/>
          <w:sz w:val="36"/>
          <w:szCs w:val="36"/>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工程名称</w:t>
            </w:r>
          </w:p>
        </w:tc>
        <w:tc>
          <w:tcPr>
            <w:tcW w:w="3780" w:type="dxa"/>
          </w:tcPr>
          <w:p>
            <w:pPr>
              <w:pStyle w:val="17"/>
              <w:tabs>
                <w:tab w:val="clear" w:pos="4153"/>
                <w:tab w:val="clear" w:pos="8306"/>
              </w:tabs>
              <w:snapToGrid/>
              <w:jc w:val="both"/>
              <w:rPr>
                <w:rFonts w:ascii="宋体" w:hAnsi="宋体"/>
                <w:szCs w:val="21"/>
              </w:rPr>
            </w:pPr>
            <w:r>
              <w:rPr>
                <w:rFonts w:hint="eastAsia"/>
              </w:rPr>
              <w:t>校园地毯—绿色校园活动中心设计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4" w:name="地理位置"/>
            <w:r>
              <w:t>江苏-徐州</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5" w:name="设计编号"/>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6" w:name="建设单位"/>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7" w:name="设计单位"/>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8" w:name="报告日期"/>
            <w:r>
              <w:rPr>
                <w:rFonts w:hint="eastAsia" w:ascii="宋体" w:hAnsi="宋体"/>
                <w:szCs w:val="21"/>
              </w:rPr>
              <w:t>2023年1月</w:t>
            </w:r>
            <w:r>
              <w:rPr>
                <w:rFonts w:hint="eastAsia" w:ascii="宋体" w:hAnsi="宋体"/>
                <w:szCs w:val="21"/>
                <w:lang w:val="en-US" w:eastAsia="zh-CN"/>
              </w:rPr>
              <w:t>3</w:t>
            </w:r>
            <w:r>
              <w:rPr>
                <w:rFonts w:hint="eastAsia" w:ascii="宋体" w:hAnsi="宋体"/>
                <w:szCs w:val="21"/>
              </w:rPr>
              <w:t>日</w:t>
            </w:r>
            <w:bookmarkEnd w:id="8"/>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b/>
          <w:bCs/>
          <w:sz w:val="32"/>
          <w:szCs w:val="32"/>
        </w:rPr>
      </w:pPr>
      <w:bookmarkStart w:id="9" w:name="二维码"/>
      <w:bookmarkEnd w:id="9"/>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"_Toc123649917"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_Toc123649917 \h </w:instrText>
      </w:r>
      <w:r>
        <w:fldChar w:fldCharType="separate"/>
      </w:r>
      <w:r>
        <w:t>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"_Toc123649918"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_Toc123649918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"_Toc123649919"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_Toc123649919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"_Toc123649920"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_Toc123649920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"_Toc123649921"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_Toc123649921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"_Toc123649922"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_Toc123649922 \h </w:instrText>
      </w:r>
      <w:r>
        <w:fldChar w:fldCharType="separate"/>
      </w:r>
      <w:r>
        <w:t>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"_Toc123649923"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_Toc123649923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"_Toc123649924" </w:instrText>
      </w:r>
      <w:r>
        <w:fldChar w:fldCharType="separate"/>
      </w:r>
      <w:r>
        <w:rPr>
          <w:rStyle w:val="26"/>
          <w:lang w:val="en-GB"/>
        </w:rPr>
        <w:t>4.1.1</w:t>
      </w:r>
      <w:r>
        <w:rPr>
          <w:rFonts w:asciiTheme="minorHAnsi" w:hAnsiTheme="minorHAnsi" w:eastAsiaTheme="minorEastAsia" w:cstheme="minorBidi"/>
          <w:szCs w:val="22"/>
        </w:rPr>
        <w:tab/>
      </w:r>
      <w:r>
        <w:rPr>
          <w:rStyle w:val="26"/>
        </w:rPr>
        <w:t>冬季工况风场计算域</w:t>
      </w:r>
      <w:r>
        <w:tab/>
      </w:r>
      <w:r>
        <w:fldChar w:fldCharType="begin"/>
      </w:r>
      <w:r>
        <w:instrText xml:space="preserve"> PAGEREF _Toc123649924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"_Toc123649925" </w:instrText>
      </w:r>
      <w:r>
        <w:fldChar w:fldCharType="separate"/>
      </w:r>
      <w:r>
        <w:rPr>
          <w:rStyle w:val="26"/>
          <w:lang w:val="en-GB"/>
        </w:rPr>
        <w:t>4.1.2</w:t>
      </w:r>
      <w:r>
        <w:rPr>
          <w:rFonts w:asciiTheme="minorHAnsi" w:hAnsiTheme="minorHAnsi" w:eastAsiaTheme="minorEastAsia" w:cstheme="minorBidi"/>
          <w:szCs w:val="22"/>
        </w:rPr>
        <w:tab/>
      </w:r>
      <w:r>
        <w:rPr>
          <w:rStyle w:val="26"/>
        </w:rPr>
        <w:t>夏季工况风场计算域</w:t>
      </w:r>
      <w:r>
        <w:tab/>
      </w:r>
      <w:r>
        <w:fldChar w:fldCharType="begin"/>
      </w:r>
      <w:r>
        <w:instrText xml:space="preserve"> PAGEREF _Toc123649925 \h </w:instrText>
      </w:r>
      <w:r>
        <w:fldChar w:fldCharType="separate"/>
      </w:r>
      <w:r>
        <w:t>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"_Toc123649926" </w:instrText>
      </w:r>
      <w:r>
        <w:fldChar w:fldCharType="separate"/>
      </w:r>
      <w:r>
        <w:rPr>
          <w:rStyle w:val="26"/>
          <w:lang w:val="en-GB"/>
        </w:rPr>
        <w:t>4.1.3</w:t>
      </w:r>
      <w:r>
        <w:rPr>
          <w:rFonts w:asciiTheme="minorHAnsi" w:hAnsiTheme="minorHAnsi" w:eastAsiaTheme="minorEastAsia" w:cstheme="minorBidi"/>
          <w:szCs w:val="22"/>
        </w:rPr>
        <w:tab/>
      </w:r>
      <w:r>
        <w:rPr>
          <w:rStyle w:val="26"/>
        </w:rPr>
        <w:t>过渡季工况风场计算域</w:t>
      </w:r>
      <w:r>
        <w:tab/>
      </w:r>
      <w:r>
        <w:fldChar w:fldCharType="begin"/>
      </w:r>
      <w:r>
        <w:instrText xml:space="preserve"> PAGEREF _Toc123649926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"_Toc123649927"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_Toc123649927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"_Toc123649928"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_Toc123649928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"_Toc123649929" </w:instrText>
      </w:r>
      <w:r>
        <w:fldChar w:fldCharType="separate"/>
      </w:r>
      <w:r>
        <w:rPr>
          <w:rStyle w:val="26"/>
          <w:lang w:val="en-GB"/>
        </w:rPr>
        <w:t>4.3.1</w:t>
      </w:r>
      <w:r>
        <w:rPr>
          <w:rFonts w:asciiTheme="minorHAnsi" w:hAnsiTheme="minorHAnsi" w:eastAsiaTheme="minorEastAsia" w:cstheme="minorBidi"/>
          <w:szCs w:val="22"/>
        </w:rPr>
        <w:tab/>
      </w:r>
      <w:r>
        <w:rPr>
          <w:rStyle w:val="26"/>
        </w:rPr>
        <w:t>入口与出口边界条件</w:t>
      </w:r>
      <w:r>
        <w:tab/>
      </w:r>
      <w:r>
        <w:fldChar w:fldCharType="begin"/>
      </w:r>
      <w:r>
        <w:instrText xml:space="preserve"> PAGEREF _Toc123649929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"_Toc123649930" </w:instrText>
      </w:r>
      <w:r>
        <w:fldChar w:fldCharType="separate"/>
      </w:r>
      <w:r>
        <w:rPr>
          <w:rStyle w:val="26"/>
          <w:lang w:val="en-GB"/>
        </w:rPr>
        <w:t>4.3.2</w:t>
      </w:r>
      <w:r>
        <w:rPr>
          <w:rFonts w:asciiTheme="minorHAnsi" w:hAnsiTheme="minorHAnsi" w:eastAsiaTheme="minorEastAsia" w:cstheme="minorBidi"/>
          <w:szCs w:val="22"/>
        </w:rPr>
        <w:tab/>
      </w:r>
      <w:r>
        <w:rPr>
          <w:rStyle w:val="26"/>
        </w:rPr>
        <w:t>壁面边界条件</w:t>
      </w:r>
      <w:r>
        <w:tab/>
      </w:r>
      <w:r>
        <w:fldChar w:fldCharType="begin"/>
      </w:r>
      <w:r>
        <w:instrText xml:space="preserve"> PAGEREF _Toc123649930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"_Toc123649931"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_Toc123649931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"_Toc123649932"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_Toc123649932 \h </w:instrText>
      </w:r>
      <w:r>
        <w:fldChar w:fldCharType="separate"/>
      </w:r>
      <w:r>
        <w:t>14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"_Toc123649933"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_Toc123649933 \h </w:instrText>
      </w:r>
      <w:r>
        <w:fldChar w:fldCharType="separate"/>
      </w:r>
      <w:r>
        <w:t>15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"_Toc123649934"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_Toc123649934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"_Toc123649935"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_Toc123649935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"_Toc123649936" </w:instrText>
      </w:r>
      <w:r>
        <w:fldChar w:fldCharType="separate"/>
      </w:r>
      <w:r>
        <w:rPr>
          <w:rStyle w:val="26"/>
          <w:lang w:val="en-GB"/>
        </w:rPr>
        <w:t>5.2</w:t>
      </w:r>
      <w:r>
        <w:rPr>
          <w:rFonts w:asciiTheme="minorHAnsi" w:hAnsiTheme="minorHAnsi" w:eastAsiaTheme="minorEastAsia" w:cstheme="minorBidi"/>
          <w:szCs w:val="22"/>
        </w:rPr>
        <w:tab/>
      </w:r>
      <w:r>
        <w:rPr>
          <w:rStyle w:val="26"/>
        </w:rPr>
        <w:t>冬季工况</w:t>
      </w:r>
      <w:r>
        <w:tab/>
      </w:r>
      <w:r>
        <w:fldChar w:fldCharType="begin"/>
      </w:r>
      <w:r>
        <w:instrText xml:space="preserve"> PAGEREF _Toc123649936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"_Toc123649937" </w:instrText>
      </w:r>
      <w:r>
        <w:fldChar w:fldCharType="separate"/>
      </w:r>
      <w:r>
        <w:rPr>
          <w:rStyle w:val="26"/>
          <w:lang w:val="en-GB"/>
        </w:rPr>
        <w:t>5.2.1</w:t>
      </w:r>
      <w:r>
        <w:rPr>
          <w:rFonts w:asciiTheme="minorHAnsi" w:hAnsiTheme="minorHAnsi" w:eastAsiaTheme="minorEastAsia" w:cstheme="minorBidi"/>
          <w:szCs w:val="22"/>
        </w:rPr>
        <w:tab/>
      </w:r>
      <w:r>
        <w:rPr>
          <w:rStyle w:val="26"/>
        </w:rPr>
        <w:t>风速达标分析</w:t>
      </w:r>
      <w:r>
        <w:tab/>
      </w:r>
      <w:r>
        <w:fldChar w:fldCharType="begin"/>
      </w:r>
      <w:r>
        <w:instrText xml:space="preserve"> PAGEREF _Toc123649937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"_Toc123649938" </w:instrText>
      </w:r>
      <w:r>
        <w:fldChar w:fldCharType="separate"/>
      </w:r>
      <w:r>
        <w:rPr>
          <w:rStyle w:val="26"/>
          <w:lang w:val="en-GB"/>
        </w:rPr>
        <w:t>5.2.2</w:t>
      </w:r>
      <w:r>
        <w:rPr>
          <w:rFonts w:asciiTheme="minorHAnsi" w:hAnsiTheme="minorHAnsi" w:eastAsiaTheme="minorEastAsia" w:cstheme="minorBidi"/>
          <w:szCs w:val="22"/>
        </w:rPr>
        <w:tab/>
      </w:r>
      <w:r>
        <w:rPr>
          <w:rStyle w:val="26"/>
        </w:rPr>
        <w:t>风速放大系数达标分析</w:t>
      </w:r>
      <w:r>
        <w:tab/>
      </w:r>
      <w:r>
        <w:fldChar w:fldCharType="begin"/>
      </w:r>
      <w:r>
        <w:instrText xml:space="preserve"> PAGEREF _Toc123649938 \h </w:instrText>
      </w:r>
      <w:r>
        <w:fldChar w:fldCharType="separate"/>
      </w:r>
      <w:r>
        <w:t>17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"_Toc123649939" </w:instrText>
      </w:r>
      <w:r>
        <w:fldChar w:fldCharType="separate"/>
      </w:r>
      <w:r>
        <w:rPr>
          <w:rStyle w:val="26"/>
          <w:lang w:val="en-GB"/>
        </w:rPr>
        <w:t>5.2.3</w:t>
      </w:r>
      <w:r>
        <w:rPr>
          <w:rFonts w:asciiTheme="minorHAnsi" w:hAnsiTheme="minorHAnsi" w:eastAsiaTheme="minorEastAsia" w:cstheme="minorBidi"/>
          <w:szCs w:val="22"/>
        </w:rPr>
        <w:tab/>
      </w:r>
      <w:r>
        <w:rPr>
          <w:rStyle w:val="26"/>
        </w:rPr>
        <w:t>冬季工况风速/风速放大系数达标结果汇总</w:t>
      </w:r>
      <w:r>
        <w:tab/>
      </w:r>
      <w:r>
        <w:fldChar w:fldCharType="begin"/>
      </w:r>
      <w:r>
        <w:instrText xml:space="preserve"> PAGEREF _Toc123649939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"_Toc123649940" </w:instrText>
      </w:r>
      <w:r>
        <w:fldChar w:fldCharType="separate"/>
      </w:r>
      <w:r>
        <w:rPr>
          <w:rStyle w:val="26"/>
          <w:lang w:val="en-GB"/>
        </w:rPr>
        <w:t>5.2.4</w:t>
      </w:r>
      <w:r>
        <w:rPr>
          <w:rFonts w:asciiTheme="minorHAnsi" w:hAnsiTheme="minorHAnsi" w:eastAsiaTheme="minorEastAsia" w:cstheme="minorBidi"/>
          <w:szCs w:val="22"/>
        </w:rPr>
        <w:tab/>
      </w:r>
      <w:r>
        <w:rPr>
          <w:rStyle w:val="26"/>
        </w:rPr>
        <w:t>建筑迎风面和背风面风压分析</w:t>
      </w:r>
      <w:r>
        <w:tab/>
      </w:r>
      <w:r>
        <w:fldChar w:fldCharType="begin"/>
      </w:r>
      <w:r>
        <w:instrText xml:space="preserve"> PAGEREF _Toc123649940 \h </w:instrText>
      </w:r>
      <w:r>
        <w:fldChar w:fldCharType="separate"/>
      </w:r>
      <w:r>
        <w:t>18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"_Toc123649941" </w:instrText>
      </w:r>
      <w:r>
        <w:fldChar w:fldCharType="separate"/>
      </w:r>
      <w:r>
        <w:rPr>
          <w:rStyle w:val="26"/>
          <w:lang w:val="en-GB"/>
        </w:rPr>
        <w:t>5.3</w:t>
      </w:r>
      <w:r>
        <w:rPr>
          <w:rFonts w:asciiTheme="minorHAnsi" w:hAnsiTheme="minorHAnsi" w:eastAsiaTheme="minorEastAsia" w:cstheme="minorBidi"/>
          <w:szCs w:val="22"/>
        </w:rPr>
        <w:tab/>
      </w:r>
      <w:r>
        <w:rPr>
          <w:rStyle w:val="26"/>
        </w:rPr>
        <w:t>夏季工况</w:t>
      </w:r>
      <w:r>
        <w:tab/>
      </w:r>
      <w:r>
        <w:fldChar w:fldCharType="begin"/>
      </w:r>
      <w:r>
        <w:instrText xml:space="preserve"> PAGEREF _Toc123649941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"_Toc123649942" </w:instrText>
      </w:r>
      <w:r>
        <w:fldChar w:fldCharType="separate"/>
      </w:r>
      <w:r>
        <w:rPr>
          <w:rStyle w:val="26"/>
          <w:lang w:val="en-GB"/>
        </w:rPr>
        <w:t>5.3.1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_Toc123649942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"_Toc123649943" </w:instrText>
      </w:r>
      <w:r>
        <w:fldChar w:fldCharType="separate"/>
      </w:r>
      <w:r>
        <w:rPr>
          <w:rStyle w:val="26"/>
          <w:lang w:val="en-GB"/>
        </w:rPr>
        <w:t>5.3.2</w:t>
      </w:r>
      <w:r>
        <w:rPr>
          <w:rFonts w:asciiTheme="minorHAnsi" w:hAnsiTheme="minorHAnsi" w:eastAsiaTheme="minorEastAsia" w:cstheme="minorBidi"/>
          <w:szCs w:val="22"/>
        </w:rPr>
        <w:tab/>
      </w:r>
      <w:r>
        <w:rPr>
          <w:rStyle w:val="26"/>
        </w:rPr>
        <w:t>旋涡区分析</w:t>
      </w:r>
      <w:r>
        <w:tab/>
      </w:r>
      <w:r>
        <w:fldChar w:fldCharType="begin"/>
      </w:r>
      <w:r>
        <w:instrText xml:space="preserve"> PAGEREF _Toc123649943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"_Toc123649944" </w:instrText>
      </w:r>
      <w:r>
        <w:fldChar w:fldCharType="separate"/>
      </w:r>
      <w:r>
        <w:rPr>
          <w:rStyle w:val="26"/>
          <w:lang w:val="en-GB"/>
        </w:rPr>
        <w:t>5.3.3</w:t>
      </w:r>
      <w:r>
        <w:rPr>
          <w:rFonts w:asciiTheme="minorHAnsi" w:hAnsiTheme="minorHAnsi" w:eastAsiaTheme="minorEastAsia" w:cstheme="minorBidi"/>
          <w:szCs w:val="22"/>
        </w:rPr>
        <w:tab/>
      </w:r>
      <w:r>
        <w:rPr>
          <w:rStyle w:val="26"/>
        </w:rPr>
        <w:t>旋涡区/无风区达标结果汇总</w:t>
      </w:r>
      <w:r>
        <w:tab/>
      </w:r>
      <w:r>
        <w:fldChar w:fldCharType="begin"/>
      </w:r>
      <w:r>
        <w:instrText xml:space="preserve"> PAGEREF _Toc123649944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"_Toc123649945" </w:instrText>
      </w:r>
      <w:r>
        <w:fldChar w:fldCharType="separate"/>
      </w:r>
      <w:r>
        <w:rPr>
          <w:rStyle w:val="26"/>
          <w:lang w:val="en-GB"/>
        </w:rPr>
        <w:t>5.3.4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_Toc123649945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"_Toc123649946" </w:instrText>
      </w:r>
      <w:r>
        <w:fldChar w:fldCharType="separate"/>
      </w:r>
      <w:r>
        <w:rPr>
          <w:rStyle w:val="26"/>
          <w:lang w:val="en-GB"/>
        </w:rPr>
        <w:t>5.4</w:t>
      </w:r>
      <w:r>
        <w:rPr>
          <w:rFonts w:asciiTheme="minorHAnsi" w:hAnsiTheme="minorHAnsi" w:eastAsiaTheme="minorEastAsia" w:cstheme="minorBidi"/>
          <w:szCs w:val="22"/>
        </w:rPr>
        <w:tab/>
      </w:r>
      <w:r>
        <w:rPr>
          <w:rStyle w:val="26"/>
        </w:rPr>
        <w:t>过渡季工况</w:t>
      </w:r>
      <w:r>
        <w:tab/>
      </w:r>
      <w:r>
        <w:fldChar w:fldCharType="begin"/>
      </w:r>
      <w:r>
        <w:instrText xml:space="preserve"> PAGEREF _Toc123649946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"_Toc123649947" </w:instrText>
      </w:r>
      <w:r>
        <w:fldChar w:fldCharType="separate"/>
      </w:r>
      <w:r>
        <w:rPr>
          <w:rStyle w:val="26"/>
          <w:lang w:val="en-GB"/>
        </w:rPr>
        <w:t>5.4.1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_Toc123649947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"_Toc123649948" </w:instrText>
      </w:r>
      <w:r>
        <w:fldChar w:fldCharType="separate"/>
      </w:r>
      <w:r>
        <w:rPr>
          <w:rStyle w:val="26"/>
          <w:lang w:val="en-GB"/>
        </w:rPr>
        <w:t>5.4.2</w:t>
      </w:r>
      <w:r>
        <w:rPr>
          <w:rFonts w:asciiTheme="minorHAnsi" w:hAnsiTheme="minorHAnsi" w:eastAsiaTheme="minorEastAsia" w:cstheme="minorBidi"/>
          <w:szCs w:val="22"/>
        </w:rPr>
        <w:tab/>
      </w:r>
      <w:r>
        <w:rPr>
          <w:rStyle w:val="26"/>
        </w:rPr>
        <w:t>旋涡区分析</w:t>
      </w:r>
      <w:r>
        <w:tab/>
      </w:r>
      <w:r>
        <w:fldChar w:fldCharType="begin"/>
      </w:r>
      <w:r>
        <w:instrText xml:space="preserve"> PAGEREF _Toc123649948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"_Toc123649949" </w:instrText>
      </w:r>
      <w:r>
        <w:fldChar w:fldCharType="separate"/>
      </w:r>
      <w:r>
        <w:rPr>
          <w:rStyle w:val="26"/>
          <w:lang w:val="en-GB"/>
        </w:rPr>
        <w:t>5.4.3</w:t>
      </w:r>
      <w:r>
        <w:rPr>
          <w:rFonts w:asciiTheme="minorHAnsi" w:hAnsiTheme="minorHAnsi" w:eastAsiaTheme="minorEastAsia" w:cstheme="minorBidi"/>
          <w:szCs w:val="22"/>
        </w:rPr>
        <w:tab/>
      </w:r>
      <w:r>
        <w:rPr>
          <w:rStyle w:val="26"/>
        </w:rPr>
        <w:t>旋涡区/无风区达标结果汇总</w:t>
      </w:r>
      <w:r>
        <w:tab/>
      </w:r>
      <w:r>
        <w:fldChar w:fldCharType="begin"/>
      </w:r>
      <w:r>
        <w:instrText xml:space="preserve"> PAGEREF _Toc123649949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"_Toc123649950" </w:instrText>
      </w:r>
      <w:r>
        <w:fldChar w:fldCharType="separate"/>
      </w:r>
      <w:r>
        <w:rPr>
          <w:rStyle w:val="26"/>
          <w:lang w:val="en-GB"/>
        </w:rPr>
        <w:t>5.4.4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_Toc123649950 \h </w:instrText>
      </w:r>
      <w:r>
        <w:fldChar w:fldCharType="separate"/>
      </w:r>
      <w:r>
        <w:t>25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"_Toc123649951" </w:instrText>
      </w:r>
      <w:r>
        <w:fldChar w:fldCharType="separate"/>
      </w:r>
      <w:r>
        <w:rPr>
          <w:rStyle w:val="26"/>
          <w:lang w:val="en-GB"/>
        </w:rPr>
        <w:t>5.5</w:t>
      </w:r>
      <w:r>
        <w:rPr>
          <w:rFonts w:asciiTheme="minorHAnsi" w:hAnsiTheme="minorHAnsi" w:eastAsiaTheme="minorEastAsia" w:cstheme="minorBidi"/>
          <w:szCs w:val="22"/>
        </w:rPr>
        <w:tab/>
      </w:r>
      <w:r>
        <w:rPr>
          <w:rStyle w:val="26"/>
        </w:rPr>
        <w:t>结论</w:t>
      </w:r>
      <w:r>
        <w:tab/>
      </w:r>
      <w:r>
        <w:fldChar w:fldCharType="begin"/>
      </w:r>
      <w:r>
        <w:instrText xml:space="preserve"> PAGEREF _Toc123649951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"_Toc123649952" </w:instrText>
      </w:r>
      <w:r>
        <w:fldChar w:fldCharType="separate"/>
      </w:r>
      <w:r>
        <w:rPr>
          <w:rStyle w:val="26"/>
          <w:lang w:val="en-GB"/>
        </w:rPr>
        <w:t>5.5.1</w:t>
      </w:r>
      <w:r>
        <w:rPr>
          <w:rFonts w:asciiTheme="minorHAnsi" w:hAnsiTheme="minorHAnsi" w:eastAsiaTheme="minorEastAsia" w:cstheme="minorBidi"/>
          <w:szCs w:val="22"/>
        </w:rPr>
        <w:tab/>
      </w:r>
      <w:r>
        <w:rPr>
          <w:rStyle w:val="26"/>
        </w:rPr>
        <w:t>冬季工况达标判断</w:t>
      </w:r>
      <w:r>
        <w:tab/>
      </w:r>
      <w:r>
        <w:fldChar w:fldCharType="begin"/>
      </w:r>
      <w:r>
        <w:instrText xml:space="preserve"> PAGEREF _Toc123649952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"_Toc123649953" </w:instrText>
      </w:r>
      <w:r>
        <w:fldChar w:fldCharType="separate"/>
      </w:r>
      <w:r>
        <w:rPr>
          <w:rStyle w:val="26"/>
          <w:lang w:val="en-GB"/>
        </w:rPr>
        <w:t>5.5.2</w:t>
      </w:r>
      <w:r>
        <w:rPr>
          <w:rFonts w:asciiTheme="minorHAnsi" w:hAnsiTheme="minorHAnsi" w:eastAsiaTheme="minorEastAsia" w:cstheme="minorBidi"/>
          <w:szCs w:val="22"/>
        </w:rPr>
        <w:tab/>
      </w:r>
      <w:r>
        <w:rPr>
          <w:rStyle w:val="26"/>
        </w:rPr>
        <w:t>过渡季、夏季工况达标判断</w:t>
      </w:r>
      <w:r>
        <w:tab/>
      </w:r>
      <w:r>
        <w:fldChar w:fldCharType="begin"/>
      </w:r>
      <w:r>
        <w:instrText xml:space="preserve"> PAGEREF _Toc123649953 \h </w:instrText>
      </w:r>
      <w:r>
        <w:fldChar w:fldCharType="separate"/>
      </w:r>
      <w:r>
        <w:t>27</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0" w:name="_Toc123649917"/>
      <w:bookmarkStart w:id="11" w:name="_Toc452108759"/>
      <w:r>
        <w:rPr>
          <w:rFonts w:hint="eastAsia"/>
        </w:rPr>
        <w:t>项目概况</w:t>
      </w:r>
      <w:bookmarkEnd w:id="10"/>
      <w:bookmarkEnd w:id="11"/>
    </w:p>
    <w:p>
      <w:pPr>
        <w:pStyle w:val="3"/>
        <w:ind w:firstLine="420"/>
        <w:rPr>
          <w:lang w:val="en-US"/>
        </w:rPr>
      </w:pPr>
      <w:bookmarkStart w:id="12" w:name="项目概况"/>
      <w:bookmarkEnd w:id="12"/>
    </w:p>
    <w:p>
      <w:pPr>
        <w:pStyle w:val="3"/>
        <w:ind w:firstLine="420"/>
        <w:rPr>
          <w:lang w:val="en-US"/>
        </w:rPr>
      </w:pPr>
    </w:p>
    <w:p>
      <w:pPr>
        <w:pStyle w:val="3"/>
        <w:ind w:firstLine="420"/>
        <w:rPr>
          <w:lang w:val="en-US"/>
        </w:rPr>
      </w:pPr>
    </w:p>
    <w:p>
      <w:pPr>
        <w:pStyle w:val="3"/>
        <w:rPr>
          <w:lang w:val="en-US"/>
        </w:rPr>
        <w:sectPr>
          <w:pgSz w:w="11906" w:h="16838"/>
          <w:pgMar w:top="822" w:right="1134" w:bottom="992" w:left="709" w:header="283" w:footer="170" w:gutter="0"/>
          <w:cols w:space="720" w:num="1"/>
          <w:docGrid w:type="linesAndChars" w:linePitch="312" w:charSpace="0"/>
        </w:sectPr>
      </w:pPr>
      <w:bookmarkStart w:id="185" w:name="_GoBack"/>
      <w:bookmarkEnd w:id="185"/>
    </w:p>
    <w:p>
      <w:pPr>
        <w:pStyle w:val="4"/>
      </w:pPr>
      <w:bookmarkStart w:id="13" w:name="_Toc123649918"/>
      <w:bookmarkStart w:id="14" w:name="_Toc452108760"/>
      <w:r>
        <w:rPr>
          <w:rFonts w:hint="eastAsia"/>
        </w:rPr>
        <w:t>总</w:t>
      </w:r>
      <w:r>
        <w:t>平面图</w:t>
      </w:r>
      <w:bookmarkEnd w:id="13"/>
      <w:bookmarkEnd w:id="1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5"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15"/>
    </w:tbl>
    <w:p>
      <w:pPr>
        <w:pStyle w:val="3"/>
        <w:ind w:firstLine="0" w:firstLineChars="0"/>
        <w:jc w:val="center"/>
        <w:rPr>
          <w:lang w:val="en-US"/>
        </w:rPr>
      </w:pPr>
      <w:r>
        <w:rPr>
          <w:rFonts w:hint="eastAsia"/>
          <w:lang w:val="en-US"/>
        </w:rPr>
        <w:t xml:space="preserve"> </w:t>
      </w:r>
      <w:bookmarkStart w:id="16" w:name="总平面图"/>
      <w:bookmarkEnd w:id="16"/>
      <w:r>
        <w:rPr>
          <w:lang w:val="en-US"/>
        </w:rP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7" w:name="_Toc123649919"/>
      <w:bookmarkStart w:id="18" w:name="_Toc452108761"/>
      <w:r>
        <w:rPr>
          <w:rFonts w:hint="eastAsia"/>
        </w:rPr>
        <w:t>三</w:t>
      </w:r>
      <w:r>
        <w:t>维视图</w:t>
      </w:r>
      <w:bookmarkEnd w:id="17"/>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9"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19"/>
    </w:tbl>
    <w:p>
      <w:pPr>
        <w:pStyle w:val="3"/>
        <w:ind w:firstLine="0" w:firstLineChars="0"/>
        <w:jc w:val="center"/>
        <w:rPr>
          <w:lang w:val="en-US"/>
        </w:rPr>
      </w:pPr>
      <w:r>
        <w:rPr>
          <w:rFonts w:hint="eastAsia"/>
          <w:lang w:val="en-US"/>
        </w:rPr>
        <w:t xml:space="preserve"> </w:t>
      </w:r>
      <w:bookmarkStart w:id="20" w:name="三维视图"/>
      <w:bookmarkEnd w:id="20"/>
      <w:r>
        <w:rPr>
          <w:lang w:val="en-US"/>
        </w:rP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1" w:name="TitleFormat"/>
      <w:bookmarkStart w:id="22" w:name="_Toc452108762"/>
      <w:bookmarkStart w:id="23" w:name="_Toc123649920"/>
      <w:r>
        <w:rPr>
          <w:rFonts w:hint="eastAsia"/>
        </w:rPr>
        <w:t>计算</w:t>
      </w:r>
      <w:r>
        <w:t>依据</w:t>
      </w:r>
      <w:bookmarkEnd w:id="21"/>
      <w:bookmarkEnd w:id="22"/>
      <w:bookmarkEnd w:id="23"/>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4" w:name="参考标准名称1"/>
      <w:r>
        <w:rPr>
          <w:rFonts w:hint="eastAsia"/>
          <w:lang w:val="en-US"/>
        </w:rPr>
        <w:t>《绿色建筑评价标准》GB/T50378-2019</w:t>
      </w:r>
      <w:bookmarkEnd w:id="24"/>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5" w:name="_Toc123649921"/>
      <w:bookmarkStart w:id="26" w:name="_Toc452108763"/>
      <w:r>
        <w:rPr>
          <w:rFonts w:hint="eastAsia"/>
        </w:rPr>
        <w:t>参考</w:t>
      </w:r>
      <w:r>
        <w:t>标准</w:t>
      </w:r>
      <w:bookmarkEnd w:id="25"/>
      <w:bookmarkEnd w:id="26"/>
    </w:p>
    <w:p>
      <w:pPr>
        <w:pStyle w:val="3"/>
        <w:ind w:firstLine="420"/>
        <w:rPr>
          <w:lang w:val="en-US"/>
        </w:rPr>
      </w:pPr>
      <w:r>
        <w:rPr>
          <w:rFonts w:hint="eastAsia"/>
          <w:lang w:val="en-US"/>
        </w:rPr>
        <w:t>室外风环境评价依据为</w:t>
      </w:r>
      <w:bookmarkStart w:id="27" w:name="参考标准名称2"/>
      <w:r>
        <w:rPr>
          <w:rFonts w:hint="eastAsia"/>
          <w:lang w:val="en-US"/>
        </w:rPr>
        <w:t>《绿色建筑评价标准》GB/T50378-2019</w:t>
      </w:r>
      <w:bookmarkEnd w:id="27"/>
      <w:r>
        <w:rPr>
          <w:rFonts w:hint="eastAsia"/>
          <w:lang w:val="en-US"/>
        </w:rPr>
        <w:t>中有关室外风环境的条目要求。具体要求如下：</w:t>
      </w:r>
    </w:p>
    <w:p>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bookmarkEnd w:id="31"/>
      <w:r>
        <w:rPr>
          <w:rFonts w:hint="eastAsia"/>
          <w:lang w:val="en-US"/>
        </w:rPr>
        <w:t>分；除迎风第一排建筑外，建筑迎风面与背风面表面风压差不超过5Pa，得</w:t>
      </w:r>
      <w:bookmarkStart w:id="32" w:name="参考标准冬季风压得分"/>
      <w:r>
        <w:rPr>
          <w:lang w:val="en-US"/>
        </w:rPr>
        <w:t>2</w:t>
      </w:r>
      <w:bookmarkEnd w:id="32"/>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bookmarkEnd w:id="33"/>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pPr>
        <w:pStyle w:val="2"/>
      </w:pPr>
      <w:bookmarkStart w:id="35" w:name="_Toc123649922"/>
      <w:r>
        <w:rPr>
          <w:rFonts w:hint="eastAsia"/>
        </w:rPr>
        <w:t>计算原理</w:t>
      </w:r>
      <w:bookmarkEnd w:id="28"/>
      <w:bookmarkEnd w:id="29"/>
      <w:bookmarkEnd w:id="35"/>
    </w:p>
    <w:p>
      <w:pPr>
        <w:pStyle w:val="4"/>
        <w:numPr>
          <w:ilvl w:val="1"/>
          <w:numId w:val="3"/>
        </w:numPr>
      </w:pPr>
      <w:bookmarkStart w:id="36" w:name="_Toc123649923"/>
      <w:bookmarkStart w:id="37" w:name="_Toc509844740"/>
      <w:bookmarkStart w:id="38" w:name="_Toc451698937"/>
      <w:bookmarkStart w:id="39" w:name="_Toc452108765"/>
      <w:r>
        <w:rPr>
          <w:rFonts w:hint="eastAsia"/>
        </w:rPr>
        <w:t>风场计算域</w:t>
      </w:r>
      <w:bookmarkEnd w:id="36"/>
      <w:bookmarkEnd w:id="3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0" w:name="_Toc123649924"/>
      <w:r>
        <w:rPr>
          <w:rFonts w:hint="eastAsia"/>
        </w:rPr>
        <w:t>冬季工况风场计算域</w:t>
      </w:r>
      <w:bookmarkEnd w:id="4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110</w:t>
            </w:r>
          </w:p>
        </w:tc>
      </w:tr>
    </w:tbl>
    <w:p>
      <w:pPr>
        <w:pStyle w:val="3"/>
        <w:ind w:firstLine="0" w:firstLineChars="0"/>
        <w:jc w:val="center"/>
        <w:rPr>
          <w:lang w:val="en-US"/>
        </w:rPr>
      </w:pPr>
      <w:r>
        <w:rPr>
          <w:lang w:val="en-US"/>
        </w:rP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41" w:name="_Toc123649925"/>
      <w:r>
        <w:rPr>
          <w:rFonts w:hint="eastAsia"/>
        </w:rPr>
        <w:t>夏季工况风场计算域</w:t>
      </w:r>
      <w:bookmarkEnd w:id="4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110</w:t>
            </w:r>
          </w:p>
        </w:tc>
      </w:tr>
    </w:tbl>
    <w:p>
      <w:pPr>
        <w:pStyle w:val="3"/>
        <w:ind w:firstLine="0" w:firstLineChars="0"/>
        <w:jc w:val="center"/>
        <w:rPr>
          <w:lang w:val="en-US"/>
        </w:rPr>
      </w:pPr>
      <w:r>
        <w:rPr>
          <w:lang w:val="en-US"/>
        </w:rP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2" w:name="_Toc123649926"/>
      <w:r>
        <w:rPr>
          <w:rFonts w:hint="eastAsia"/>
        </w:rPr>
        <w:t>过渡季工况风场计算域</w:t>
      </w:r>
      <w:bookmarkEnd w:id="4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X尺寸"/>
            <w:r>
              <w:t>333</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Y尺寸"/>
            <w:r>
              <w:t>289</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Z尺寸"/>
            <w:r>
              <w:t>110</w:t>
            </w:r>
            <w:bookmarkEnd w:id="45"/>
          </w:p>
        </w:tc>
      </w:tr>
    </w:tbl>
    <w:p>
      <w:pPr>
        <w:pStyle w:val="3"/>
        <w:ind w:firstLine="0" w:firstLineChars="0"/>
        <w:jc w:val="center"/>
        <w:rPr>
          <w:lang w:val="en-US"/>
        </w:rPr>
      </w:pPr>
      <w:bookmarkStart w:id="46" w:name="冬季工况风场计算域图示"/>
      <w:bookmarkEnd w:id="46"/>
      <w:r>
        <w:rPr>
          <w:lang w:val="en-US"/>
        </w:rPr>
        <w:drawing>
          <wp:inline distT="0" distB="0" distL="0" distR="0">
            <wp:extent cx="5667375" cy="3409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7" w:name="计算域"/>
      <w:bookmarkEnd w:id="47"/>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8" w:name="_Toc123649927"/>
      <w:bookmarkStart w:id="49" w:name="_Toc509844741"/>
      <w:r>
        <w:rPr>
          <w:rFonts w:hint="eastAsia"/>
        </w:rPr>
        <w:t>网格划分</w:t>
      </w:r>
      <w:bookmarkEnd w:id="48"/>
      <w:bookmarkEnd w:id="49"/>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0" w:name="OLE_LINK276"/>
      <w:bookmarkStart w:id="51" w:name="OLE_LINK277"/>
      <w:r>
        <w:rPr>
          <w:rFonts w:hint="eastAsia"/>
        </w:rPr>
        <w:t>1）普通网格：指除靠近地面和建筑以外的网格，通常不需要特别加密处理</w:t>
      </w:r>
    </w:p>
    <w:p>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53"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0"/>
      <w:bookmarkEnd w:id="51"/>
    </w:p>
    <w:bookmarkEnd w:id="53"/>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196139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rPr>
          <w:lang w:val="en-US"/>
        </w:rPr>
        <w:drawing>
          <wp:inline distT="0" distB="0" distL="0" distR="0">
            <wp:extent cx="5667375" cy="3686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686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202042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rPr>
          <w:lang w:val="en-US"/>
        </w:rPr>
        <w:drawing>
          <wp:inline distT="0" distB="0" distL="0" distR="0">
            <wp:extent cx="5667375" cy="3686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686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网格图-夏季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4" w:name="冬季网格总数"/>
            <w:r>
              <w:t>202042</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初始网格"/>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最小细分级数"/>
            <w:r>
              <w:t>1</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大细分级数"/>
            <w:r>
              <w:t>2</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远场细分级数"/>
            <w:r>
              <w:t>1</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近场细分级数"/>
            <w:r>
              <w:t>2</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地面附面层数"/>
            <w:r>
              <w:t>2</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建筑附面层数"/>
            <w:r>
              <w:t>0</w:t>
            </w:r>
            <w:bookmarkEnd w:id="62"/>
          </w:p>
        </w:tc>
      </w:tr>
    </w:tbl>
    <w:p>
      <w:pPr>
        <w:rPr>
          <w:szCs w:val="21"/>
          <w:lang w:val="en-US"/>
        </w:rPr>
      </w:pPr>
    </w:p>
    <w:p>
      <w:pPr>
        <w:jc w:val="center"/>
      </w:pPr>
      <w:r>
        <w:rPr>
          <w:lang w:val="en-US"/>
        </w:rPr>
        <w:drawing>
          <wp:inline distT="0" distB="0" distL="0" distR="0">
            <wp:extent cx="5667375" cy="36861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686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3</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63" w:name="季节"/>
      <w:r>
        <w:rPr>
          <w:rFonts w:hint="eastAsia" w:ascii="黑体" w:hAnsi="黑体" w:eastAsia="黑体"/>
          <w:sz w:val="20"/>
        </w:rPr>
        <w:t>过渡季</w:t>
      </w:r>
      <w:bookmarkEnd w:id="63"/>
    </w:p>
    <w:p>
      <w:pPr>
        <w:pStyle w:val="3"/>
        <w:ind w:firstLine="630" w:firstLineChars="300"/>
        <w:rPr>
          <w:rFonts w:ascii="黑体" w:hAnsi="黑体" w:eastAsia="黑体"/>
          <w:szCs w:val="20"/>
          <w:lang w:val="en-US"/>
        </w:rPr>
      </w:pPr>
      <w:bookmarkStart w:id="64" w:name="网格划分信息"/>
      <w:bookmarkEnd w:id="64"/>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65" w:name="网格图"/>
      <w:bookmarkEnd w:id="65"/>
    </w:p>
    <w:p>
      <w:pPr>
        <w:pStyle w:val="4"/>
        <w:numPr>
          <w:ilvl w:val="1"/>
          <w:numId w:val="3"/>
        </w:numPr>
      </w:pPr>
      <w:bookmarkStart w:id="66" w:name="_Toc509844742"/>
      <w:bookmarkStart w:id="67" w:name="_Toc123649928"/>
      <w:r>
        <w:rPr>
          <w:rFonts w:hint="eastAsia"/>
        </w:rPr>
        <w:t>边界条件</w:t>
      </w:r>
      <w:bookmarkEnd w:id="66"/>
      <w:bookmarkEnd w:id="67"/>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8" w:name="_Toc509844743"/>
      <w:bookmarkStart w:id="69" w:name="_Toc123649929"/>
      <w:r>
        <w:rPr>
          <w:rFonts w:hint="eastAsia"/>
        </w:rPr>
        <w:t>入口与出口边界条件</w:t>
      </w:r>
      <w:bookmarkEnd w:id="68"/>
      <w:bookmarkEnd w:id="69"/>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0.28</w:t>
      </w:r>
      <w:bookmarkEnd w:id="70"/>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1" w:name="_Toc123649930"/>
      <w:bookmarkStart w:id="72" w:name="_Toc509844744"/>
      <w:r>
        <w:rPr>
          <w:rFonts w:hint="eastAsia"/>
        </w:rPr>
        <w:t>壁面边界条件</w:t>
      </w:r>
      <w:bookmarkEnd w:id="71"/>
      <w:bookmarkEnd w:id="72"/>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3" w:name="_Toc123649931"/>
      <w:r>
        <w:rPr>
          <w:rFonts w:hint="eastAsia"/>
        </w:rPr>
        <w:t>湍流模型</w:t>
      </w:r>
      <w:bookmarkEnd w:id="38"/>
      <w:bookmarkEnd w:id="39"/>
      <w:bookmarkEnd w:id="73"/>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4" w:name="_Toc451698939"/>
      <w:bookmarkStart w:id="75" w:name="_Toc123649932"/>
      <w:bookmarkStart w:id="76" w:name="_Toc452108767"/>
      <w:r>
        <w:rPr>
          <w:rFonts w:hint="eastAsia"/>
        </w:rPr>
        <w:t>求解计算</w:t>
      </w:r>
      <w:bookmarkEnd w:id="74"/>
      <w:bookmarkEnd w:id="75"/>
      <w:bookmarkEnd w:id="7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30"/>
    </w:p>
    <w:p>
      <w:pPr>
        <w:pStyle w:val="4"/>
      </w:pPr>
      <w:bookmarkStart w:id="79" w:name="_Toc509844747"/>
      <w:bookmarkStart w:id="80" w:name="_Toc123649933"/>
      <w:r>
        <w:rPr>
          <w:rFonts w:hint="eastAsia"/>
        </w:rPr>
        <w:t>风速放大系数计算</w:t>
      </w:r>
      <w:bookmarkEnd w:id="79"/>
      <w:bookmarkEnd w:id="80"/>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0.28</w:t>
      </w:r>
      <w:bookmarkEnd w:id="81"/>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2" w:name="_Toc452108768"/>
      <w:bookmarkStart w:id="83" w:name="_Toc123649934"/>
      <w:r>
        <w:rPr>
          <w:rFonts w:hint="eastAsia"/>
        </w:rPr>
        <w:t>结果</w:t>
      </w:r>
      <w:r>
        <w:t>分析</w:t>
      </w:r>
      <w:bookmarkEnd w:id="82"/>
      <w:bookmarkEnd w:id="83"/>
    </w:p>
    <w:p>
      <w:pPr>
        <w:pStyle w:val="4"/>
        <w:rPr>
          <w:szCs w:val="21"/>
        </w:rPr>
      </w:pPr>
      <w:bookmarkStart w:id="84" w:name="_Toc123649935"/>
      <w:r>
        <w:rPr>
          <w:rFonts w:hint="eastAsia"/>
          <w:szCs w:val="21"/>
        </w:rPr>
        <w:t>工况</w:t>
      </w:r>
      <w:r>
        <w:rPr>
          <w:szCs w:val="21"/>
        </w:rPr>
        <w:t>表</w:t>
      </w:r>
      <w:bookmarkEnd w:id="84"/>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337.5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337.5</w:t>
            </w:r>
          </w:p>
        </w:tc>
      </w:tr>
      <w:bookmarkEnd w:id="85"/>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6" w:name="_Toc509844750"/>
      <w:bookmarkStart w:id="87" w:name="_Toc123649936"/>
      <w:r>
        <w:rPr>
          <w:rFonts w:hint="eastAsia"/>
        </w:rPr>
        <w:t>冬季工况</w:t>
      </w:r>
      <w:bookmarkEnd w:id="86"/>
      <w:bookmarkEnd w:id="87"/>
    </w:p>
    <w:p>
      <w:pPr>
        <w:ind w:firstLine="420" w:firstLineChars="200"/>
        <w:jc w:val="both"/>
      </w:pPr>
      <w:r>
        <w:rPr>
          <w:rFonts w:hint="eastAsia"/>
          <w:lang w:val="en-US"/>
        </w:rPr>
        <w:t>本项目冬季工况的入口边界风速为</w:t>
      </w:r>
      <w:bookmarkStart w:id="88" w:name="冬季入口边界风速"/>
      <w:r>
        <w:rPr>
          <w:rFonts w:hint="eastAsia" w:ascii="Calibri" w:hAnsi="Calibri"/>
          <w:szCs w:val="21"/>
        </w:rPr>
        <w:t>3.00</w:t>
      </w:r>
      <w:bookmarkEnd w:id="88"/>
      <w:r>
        <w:rPr>
          <w:rFonts w:ascii="Calibri" w:hAnsi="Calibri"/>
          <w:szCs w:val="21"/>
        </w:rPr>
        <w:t>m/s</w:t>
      </w:r>
      <w:r>
        <w:rPr>
          <w:rFonts w:hint="eastAsia" w:ascii="Calibri" w:hAnsi="Calibri"/>
          <w:szCs w:val="21"/>
        </w:rPr>
        <w:t>，风向为</w:t>
      </w:r>
      <w:bookmarkStart w:id="89" w:name="冬季入口边界风向"/>
      <w:r>
        <w:rPr>
          <w:szCs w:val="21"/>
        </w:rPr>
        <w:t>E</w:t>
      </w:r>
      <w:bookmarkEnd w:id="89"/>
      <w:r>
        <w:rPr>
          <w:rFonts w:hint="eastAsia"/>
          <w:szCs w:val="21"/>
        </w:rPr>
        <w:t>。</w:t>
      </w:r>
    </w:p>
    <w:p>
      <w:pPr>
        <w:pStyle w:val="5"/>
      </w:pPr>
      <w:bookmarkStart w:id="90" w:name="_Toc509844751"/>
      <w:bookmarkStart w:id="91" w:name="_Toc123649937"/>
      <w:r>
        <w:rPr>
          <w:rFonts w:hint="eastAsia"/>
        </w:rPr>
        <w:t>风速达标分析</w:t>
      </w:r>
      <w:bookmarkEnd w:id="90"/>
      <w:bookmarkEnd w:id="91"/>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92" w:name="冬季工况人行区风速分析结论"/>
      <w:bookmarkEnd w:id="92"/>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人行区风速云图"/>
      <w:bookmarkEnd w:id="93"/>
      <w:r>
        <w:rPr>
          <w:lang w:val="en-US"/>
        </w:rPr>
        <w:drawing>
          <wp:inline distT="0" distB="0" distL="0" distR="0">
            <wp:extent cx="5667375" cy="32289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a:stretch>
                      <a:fillRect/>
                    </a:stretch>
                  </pic:blipFill>
                  <pic:spPr>
                    <a:xfrm>
                      <a:off x="0" y="0"/>
                      <a:ext cx="5667375" cy="32289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4" w:name="_Toc509844752"/>
      <w:bookmarkStart w:id="95" w:name="_Toc123649938"/>
      <w:r>
        <w:rPr>
          <w:rFonts w:hint="eastAsia"/>
        </w:rPr>
        <w:t>风速放大系数达标分析</w:t>
      </w:r>
      <w:bookmarkEnd w:id="94"/>
      <w:bookmarkEnd w:id="95"/>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6" w:name="冬季工况人行区风速放大系数分析结论"/>
      <w:bookmarkEnd w:id="9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7" w:name="冬季工况人行区风速放大系数云图"/>
      <w:bookmarkEnd w:id="97"/>
      <w:r>
        <w:rPr>
          <w:lang w:val="en-US"/>
        </w:rP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ascii="黑体" w:hAnsi="黑体" w:eastAsia="黑体"/>
          <w:lang w:val="en-US"/>
        </w:rPr>
      </w:pPr>
      <w:r>
        <w:rPr>
          <w:rFonts w:hint="eastAsia" w:ascii="黑体" w:hAnsi="黑体" w:eastAsia="黑体"/>
          <w:lang w:val="en-US"/>
        </w:rPr>
        <w:t>2）通常将1.5米作为一般人群的参考行走高度，也可酌情调整人行走高度。</w:t>
      </w:r>
      <w:bookmarkStart w:id="98" w:name="_Toc509844754"/>
      <w:bookmarkEnd w:id="98"/>
      <w:bookmarkStart w:id="99" w:name="_Toc509844756"/>
      <w:bookmarkEnd w:id="99"/>
      <w:bookmarkStart w:id="100" w:name="_Toc509844757"/>
      <w:bookmarkEnd w:id="100"/>
      <w:bookmarkStart w:id="101" w:name="_Toc509844755"/>
      <w:bookmarkEnd w:id="101"/>
    </w:p>
    <w:p>
      <w:pPr>
        <w:pStyle w:val="3"/>
        <w:ind w:firstLine="420"/>
        <w:rPr>
          <w:lang w:val="en-US"/>
        </w:rPr>
      </w:pPr>
    </w:p>
    <w:p>
      <w:pPr>
        <w:pStyle w:val="5"/>
      </w:pPr>
      <w:bookmarkStart w:id="102" w:name="_Toc509844753"/>
      <w:bookmarkStart w:id="103" w:name="_Toc123649939"/>
      <w:r>
        <w:rPr>
          <w:rFonts w:hint="eastAsia"/>
        </w:rPr>
        <w:t>冬季工况风速/风速放大系数达标</w:t>
      </w:r>
      <w:bookmarkEnd w:id="102"/>
      <w:r>
        <w:rPr>
          <w:rFonts w:hint="eastAsia"/>
        </w:rPr>
        <w:t>结果汇总</w:t>
      </w:r>
      <w:bookmarkEnd w:id="103"/>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是否有超限区域"/>
            <w:r>
              <w:rPr>
                <w:rFonts w:hint="eastAsia" w:ascii="宋体" w:hAnsi="宋体" w:cs="宋体"/>
                <w:color w:val="000000"/>
                <w:sz w:val="22"/>
                <w:szCs w:val="22"/>
                <w:lang w:val="en-US"/>
              </w:rPr>
              <w:t>否</w:t>
            </w:r>
            <w:bookmarkEnd w:id="104"/>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风速放大系数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风速放大系数达标判断"/>
            <w:r>
              <w:rPr>
                <w:rFonts w:hint="eastAsia" w:ascii="宋体" w:hAnsi="宋体" w:cs="宋体"/>
                <w:color w:val="000000"/>
                <w:sz w:val="22"/>
                <w:szCs w:val="22"/>
                <w:lang w:val="en-US"/>
              </w:rPr>
              <w:t>是</w:t>
            </w:r>
            <w:bookmarkEnd w:id="107"/>
          </w:p>
        </w:tc>
      </w:tr>
    </w:tbl>
    <w:p/>
    <w:p>
      <w:pPr>
        <w:pStyle w:val="5"/>
      </w:pPr>
      <w:bookmarkStart w:id="108" w:name="_Toc123649940"/>
      <w:r>
        <w:rPr>
          <w:rFonts w:hint="eastAsia"/>
        </w:rPr>
        <w:t>建筑迎风面和背风面风压分析</w:t>
      </w:r>
      <w:bookmarkEnd w:id="108"/>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9" w:name="冬季工况建筑迎风面风压云图"/>
      <w:bookmarkEnd w:id="109"/>
      <w:r>
        <w:rPr>
          <w:lang w:val="en-US"/>
        </w:rP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0" w:name="冬季工况建筑背风面风压云图"/>
      <w:bookmarkEnd w:id="110"/>
      <w:r>
        <w:rPr>
          <w:lang w:val="en-US"/>
        </w:rP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429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1"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2" w:name="建筑迎背风面风压差表_建筑名"/>
      <w:r>
        <w:rPr>
          <w:rFonts w:ascii="Cambria" w:hAnsi="Cambria" w:eastAsia="黑体"/>
          <w:sz w:val="20"/>
        </w:rPr>
        <w:t>DT单体</w:t>
      </w:r>
      <w:bookmarkEnd w:id="112"/>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0.59</w:t>
            </w:r>
          </w:p>
        </w:tc>
      </w:tr>
    </w:tbl>
    <w:p>
      <w:bookmarkStart w:id="113" w:name="结论"/>
      <w:bookmarkEnd w:id="113"/>
      <w:r>
        <w:t>标准要求：迎背风面窗平均风压差（绝对值）≤5Pa。结论：该楼</w:t>
      </w:r>
      <w:r>
        <w:rPr>
          <w:b/>
          <w:color w:val="0000FF"/>
        </w:rPr>
        <w:t>达标</w:t>
      </w:r>
      <w:r>
        <w:t>。</w:t>
      </w:r>
    </w:p>
    <w:bookmarkEnd w:id="111"/>
    <w:p>
      <w:pPr>
        <w:jc w:val="center"/>
        <w:rPr>
          <w:rFonts w:ascii="Cambria" w:hAnsi="Cambria" w:eastAsia="黑体"/>
          <w:sz w:val="20"/>
        </w:rPr>
      </w:pPr>
      <w:bookmarkStart w:id="114" w:name="建筑迎背风面风压差表_新增"/>
      <w:bookmarkEnd w:id="114"/>
      <w:bookmarkStart w:id="115" w:name="建筑迎背风面风压差表"/>
    </w:p>
    <w:bookmarkEnd w:id="11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w:t>
            </w:r>
          </w:p>
        </w:tc>
        <w:tc>
          <w:tcPr>
            <w:tcW w:w="1276" w:type="dxa"/>
            <w:shd w:val="clear" w:color="auto" w:fill="auto"/>
            <w:vAlign w:val="center"/>
          </w:tcPr>
          <w:p>
            <w:pPr>
              <w:jc w:val="center"/>
              <w:rPr>
                <w:lang w:val="en-US"/>
              </w:rPr>
            </w:pPr>
            <w:r>
              <w:rPr>
                <w:lang w:val="en-US"/>
              </w:rPr>
              <w:t>-0.45</w:t>
            </w:r>
          </w:p>
        </w:tc>
        <w:tc>
          <w:tcPr>
            <w:tcW w:w="1276" w:type="dxa"/>
            <w:shd w:val="clear" w:color="auto" w:fill="auto"/>
            <w:vAlign w:val="center"/>
          </w:tcPr>
          <w:p>
            <w:pPr>
              <w:jc w:val="center"/>
              <w:rPr>
                <w:lang w:val="en-US"/>
              </w:rPr>
            </w:pPr>
            <w:r>
              <w:rPr>
                <w:lang w:val="en-US"/>
              </w:rPr>
              <w:t>-1.04</w:t>
            </w:r>
          </w:p>
        </w:tc>
        <w:tc>
          <w:tcPr>
            <w:tcW w:w="1701" w:type="dxa"/>
            <w:shd w:val="clear" w:color="auto" w:fill="auto"/>
            <w:vAlign w:val="center"/>
          </w:tcPr>
          <w:p>
            <w:pPr>
              <w:jc w:val="center"/>
              <w:rPr>
                <w:lang w:val="en-US"/>
              </w:rPr>
            </w:pPr>
            <w:r>
              <w:rPr>
                <w:lang w:val="en-US"/>
              </w:rPr>
              <w:t>0.59</w:t>
            </w:r>
          </w:p>
        </w:tc>
        <w:tc>
          <w:tcPr>
            <w:tcW w:w="973" w:type="dxa"/>
            <w:shd w:val="clear" w:color="auto" w:fill="auto"/>
            <w:vAlign w:val="center"/>
          </w:tcPr>
          <w:p>
            <w:pPr>
              <w:jc w:val="center"/>
              <w:rPr>
                <w:lang w:val="en-US"/>
              </w:rPr>
            </w:pPr>
            <w:r>
              <w:rPr>
                <w:lang w:val="en-US"/>
              </w:rPr>
              <w:t>是</w:t>
            </w:r>
          </w:p>
        </w:tc>
      </w:tr>
      <w:bookmarkEnd w:id="116"/>
    </w:tbl>
    <w:p>
      <w:pPr>
        <w:rPr>
          <w:lang w:val="en-US"/>
        </w:rPr>
      </w:pPr>
      <w:bookmarkStart w:id="117" w:name="建筑迎风和背风面风压差结论汇总结论"/>
      <w:bookmarkEnd w:id="117"/>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18" w:name="冬季工况"/>
      <w:bookmarkEnd w:id="118"/>
      <w:r>
        <w:rPr>
          <w:rFonts w:hint="eastAsia"/>
          <w:lang w:val="en-US"/>
        </w:rPr>
        <w:t xml:space="preserve"> </w:t>
      </w:r>
    </w:p>
    <w:p>
      <w:pPr>
        <w:pStyle w:val="4"/>
      </w:pPr>
      <w:bookmarkStart w:id="119" w:name="_Toc123649941"/>
      <w:r>
        <w:rPr>
          <w:rFonts w:hint="eastAsia"/>
        </w:rPr>
        <w:t>夏季工况</w:t>
      </w:r>
      <w:bookmarkEnd w:id="119"/>
    </w:p>
    <w:p>
      <w:pPr>
        <w:pStyle w:val="3"/>
        <w:ind w:firstLine="420"/>
      </w:pPr>
      <w:r>
        <w:rPr>
          <w:rFonts w:hint="eastAsia"/>
          <w:lang w:val="en-US"/>
        </w:rPr>
        <w:t>本项目夏季工况的入口边界风速为3.50m/s，风向为</w:t>
      </w:r>
      <w:r>
        <w:t>ESE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0" w:name="_Toc123649942"/>
      <w:r>
        <w:rPr>
          <w:rFonts w:hint="eastAsia"/>
        </w:rPr>
        <w:t>无风区计算分析</w:t>
      </w:r>
      <w:bookmarkEnd w:id="120"/>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r>
        <w:rPr>
          <w:lang w:val="en-US"/>
        </w:rPr>
        <w:drawing>
          <wp:inline distT="0" distB="0" distL="0" distR="0">
            <wp:extent cx="5667375" cy="32289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2289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21" w:name="_Toc123649943"/>
      <w:r>
        <w:rPr>
          <w:rFonts w:hint="eastAsia"/>
        </w:rPr>
        <w:t>旋涡区分析</w:t>
      </w:r>
      <w:bookmarkEnd w:id="121"/>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rPr>
          <w:lang w:val="en-US"/>
        </w:rPr>
        <w:drawing>
          <wp:inline distT="0" distB="0" distL="0" distR="0">
            <wp:extent cx="5667375" cy="34956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4956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22" w:name="_Toc123649944"/>
      <w:r>
        <w:rPr>
          <w:rFonts w:hint="eastAsia"/>
        </w:rPr>
        <w:t>旋涡区/无风区达标结果汇总</w:t>
      </w:r>
      <w:bookmarkEnd w:id="12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23" w:name="_Toc123649945"/>
      <w:r>
        <w:rPr>
          <w:rFonts w:hint="eastAsia"/>
        </w:rPr>
        <w:t>外窗内外表面风压差达标分析</w:t>
      </w:r>
      <w:bookmarkEnd w:id="123"/>
    </w:p>
    <w:p>
      <w:pPr>
        <w:pStyle w:val="3"/>
        <w:ind w:firstLine="420"/>
      </w:pPr>
      <w:r>
        <w:rPr>
          <w:rFonts w:hint="eastAsia"/>
          <w:lang w:val="en-US"/>
        </w:rPr>
        <w:t>分析《绿色建筑评价标准》，夏季为充分利用自然通风获得良好的室内风环境，要求50%以上可开启外窗室内外表面的风压差大于0.5Pa。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r>
        <w:rPr>
          <w:lang w:val="en-US"/>
        </w:rP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pPr>
        <w:pStyle w:val="13"/>
        <w:jc w:val="center"/>
      </w:pPr>
      <w:r>
        <w:rPr>
          <w:lang w:val="en-US"/>
        </w:rP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122</w:t>
            </w:r>
          </w:p>
        </w:tc>
        <w:tc>
          <w:tcPr>
            <w:tcW w:w="1984" w:type="dxa"/>
            <w:shd w:val="clear" w:color="auto" w:fill="auto"/>
            <w:vAlign w:val="center"/>
          </w:tcPr>
          <w:p>
            <w:pPr>
              <w:jc w:val="center"/>
              <w:rPr>
                <w:lang w:val="en-US"/>
              </w:rPr>
            </w:pPr>
            <w:r>
              <w:rPr>
                <w:lang w:val="en-US"/>
              </w:rPr>
              <w:t>102</w:t>
            </w:r>
          </w:p>
        </w:tc>
        <w:tc>
          <w:tcPr>
            <w:tcW w:w="1116" w:type="dxa"/>
            <w:shd w:val="clear" w:color="auto" w:fill="auto"/>
            <w:vAlign w:val="center"/>
          </w:tcPr>
          <w:p>
            <w:pPr>
              <w:jc w:val="center"/>
              <w:rPr>
                <w:lang w:val="en-US"/>
              </w:rPr>
            </w:pPr>
            <w:r>
              <w:rPr>
                <w:lang w:val="en-US"/>
              </w:rPr>
              <w:t>83.61</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p>
    <w:p/>
    <w:p>
      <w:pPr>
        <w:rPr>
          <w:lang w:val="en-US"/>
        </w:rPr>
      </w:pPr>
      <w:r>
        <w:rPr>
          <w:rFonts w:hint="eastAsia"/>
          <w:lang w:val="en-US"/>
        </w:rPr>
        <w:t xml:space="preserve">结论：本项目中所有建筑均满足“50%以上可开启外窗室内外表面的风压差大于0.5Pa”的要求。 </w:t>
      </w:r>
    </w:p>
    <w:p>
      <w:pPr>
        <w:pStyle w:val="4"/>
      </w:pPr>
      <w:bookmarkStart w:id="124" w:name="季节1"/>
      <w:bookmarkStart w:id="125" w:name="_Toc509844759"/>
      <w:bookmarkStart w:id="126" w:name="_Toc123649946"/>
      <w:r>
        <w:rPr>
          <w:rFonts w:hint="eastAsia"/>
        </w:rPr>
        <w:t>过渡季</w:t>
      </w:r>
      <w:bookmarkEnd w:id="124"/>
      <w:r>
        <w:rPr>
          <w:rFonts w:hint="eastAsia"/>
        </w:rPr>
        <w:t>工况</w:t>
      </w:r>
      <w:bookmarkEnd w:id="125"/>
      <w:bookmarkEnd w:id="126"/>
    </w:p>
    <w:p>
      <w:pPr>
        <w:pStyle w:val="3"/>
        <w:ind w:firstLine="420"/>
      </w:pPr>
      <w:r>
        <w:rPr>
          <w:rFonts w:hint="eastAsia"/>
          <w:lang w:val="en-US"/>
        </w:rPr>
        <w:t>本项目</w:t>
      </w:r>
      <w:bookmarkStart w:id="127" w:name="季节2"/>
      <w:r>
        <w:rPr>
          <w:rFonts w:hint="eastAsia"/>
          <w:lang w:val="en-US"/>
        </w:rPr>
        <w:t>过渡季</w:t>
      </w:r>
      <w:bookmarkEnd w:id="127"/>
      <w:r>
        <w:rPr>
          <w:rFonts w:hint="eastAsia"/>
          <w:lang w:val="en-US"/>
        </w:rPr>
        <w:t>工况的入口边界风速为</w:t>
      </w:r>
      <w:bookmarkStart w:id="128" w:name="入口边界风速"/>
      <w:r>
        <w:rPr>
          <w:rFonts w:hint="eastAsia"/>
          <w:lang w:val="en-US"/>
        </w:rPr>
        <w:t>3.50</w:t>
      </w:r>
      <w:bookmarkEnd w:id="128"/>
      <w:r>
        <w:rPr>
          <w:rFonts w:hint="eastAsia"/>
          <w:lang w:val="en-US"/>
        </w:rPr>
        <w:t>m/s，风向为</w:t>
      </w:r>
      <w:bookmarkStart w:id="129" w:name="入口边界风向"/>
      <w:r>
        <w:t>ESE</w:t>
      </w:r>
      <w:bookmarkEnd w:id="129"/>
      <w:r>
        <w:rPr>
          <w:rFonts w:hint="eastAsia"/>
          <w:lang w:val="en-US"/>
        </w:rPr>
        <w:t>。</w:t>
      </w:r>
    </w:p>
    <w:p>
      <w:pPr>
        <w:pStyle w:val="3"/>
        <w:ind w:firstLine="420"/>
      </w:pPr>
      <w:r>
        <w:rPr>
          <w:rFonts w:hint="eastAsia"/>
          <w:lang w:val="en-US"/>
        </w:rPr>
        <w:t>根据前述《绿色建筑评价标准》 对于夏季工况的要求，</w:t>
      </w:r>
      <w:bookmarkStart w:id="130" w:name="季节3"/>
      <w:r>
        <w:rPr>
          <w:rFonts w:hint="eastAsia"/>
          <w:lang w:val="en-US"/>
        </w:rPr>
        <w:t>过渡季</w:t>
      </w:r>
      <w:bookmarkEnd w:id="130"/>
      <w:r>
        <w:rPr>
          <w:rFonts w:hint="eastAsia"/>
          <w:lang w:val="en-US"/>
        </w:rPr>
        <w:t>典型风速和风向条件下，场地内人活动区不出现涡旋或无风区。通过该项标准指导设计确保合理的建筑布局，在</w:t>
      </w:r>
      <w:bookmarkStart w:id="131" w:name="季节4"/>
      <w:r>
        <w:rPr>
          <w:rFonts w:hint="eastAsia"/>
          <w:lang w:val="en-US"/>
        </w:rPr>
        <w:t>过渡季</w:t>
      </w:r>
      <w:bookmarkEnd w:id="131"/>
      <w:r>
        <w:rPr>
          <w:rFonts w:hint="eastAsia"/>
          <w:lang w:val="en-US"/>
        </w:rPr>
        <w:t>形成有效的巷道风，优化街区自然通风环境，避免</w:t>
      </w:r>
      <w:bookmarkStart w:id="132" w:name="季节5"/>
      <w:r>
        <w:rPr>
          <w:rFonts w:hint="eastAsia"/>
          <w:lang w:val="en-US"/>
        </w:rPr>
        <w:t>过渡季</w:t>
      </w:r>
      <w:bookmarkEnd w:id="132"/>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3" w:name="_Toc509844760"/>
      <w:bookmarkStart w:id="134" w:name="_Toc123649947"/>
      <w:r>
        <w:rPr>
          <w:rFonts w:hint="eastAsia"/>
        </w:rPr>
        <w:t>无风区计算分析</w:t>
      </w:r>
      <w:bookmarkEnd w:id="133"/>
      <w:bookmarkEnd w:id="134"/>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35" w:name="人活动区风速分析结论"/>
      <w:bookmarkEnd w:id="135"/>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36" w:name="人行区风速云图"/>
      <w:bookmarkEnd w:id="136"/>
      <w:r>
        <w:rPr>
          <w:lang w:val="en-US"/>
        </w:rPr>
        <w:drawing>
          <wp:inline distT="0" distB="0" distL="0" distR="0">
            <wp:extent cx="5667375" cy="32289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2289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37" w:name="_Toc509844761"/>
      <w:bookmarkStart w:id="138" w:name="_Toc123649948"/>
      <w:r>
        <w:rPr>
          <w:rFonts w:hint="eastAsia"/>
        </w:rPr>
        <w:t>旋涡区分析</w:t>
      </w:r>
      <w:bookmarkEnd w:id="137"/>
      <w:bookmarkEnd w:id="138"/>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9" w:name="人行区风速矢量图"/>
      <w:bookmarkEnd w:id="139"/>
      <w:r>
        <w:rPr>
          <w:lang w:val="en-US"/>
        </w:rPr>
        <w:drawing>
          <wp:inline distT="0" distB="0" distL="0" distR="0">
            <wp:extent cx="5667375" cy="3495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4956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40" w:name="_Toc509844762"/>
      <w:bookmarkStart w:id="141" w:name="_Toc123649949"/>
      <w:r>
        <w:rPr>
          <w:rFonts w:hint="eastAsia"/>
        </w:rPr>
        <w:t>旋涡区/无风区达标</w:t>
      </w:r>
      <w:bookmarkEnd w:id="140"/>
      <w:r>
        <w:rPr>
          <w:rFonts w:hint="eastAsia"/>
        </w:rPr>
        <w:t>结果汇总</w:t>
      </w:r>
      <w:bookmarkEnd w:id="14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2" w:name="季节8"/>
      <w:r>
        <w:rPr>
          <w:rFonts w:hint="eastAsia" w:ascii="黑体" w:hAnsi="黑体" w:eastAsia="黑体"/>
          <w:sz w:val="20"/>
          <w:szCs w:val="20"/>
        </w:rPr>
        <w:t>过渡季</w:t>
      </w:r>
      <w:bookmarkEnd w:id="14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3" w:name="是否有无风区"/>
            <w:r>
              <w:rPr>
                <w:rFonts w:hint="eastAsia" w:ascii="宋体" w:hAnsi="宋体" w:cs="宋体"/>
                <w:color w:val="000000"/>
                <w:sz w:val="22"/>
                <w:szCs w:val="22"/>
                <w:lang w:val="en-US"/>
              </w:rPr>
              <w:t>否</w:t>
            </w:r>
            <w:bookmarkEnd w:id="14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4" w:name="无风区达标判断"/>
            <w:r>
              <w:rPr>
                <w:rFonts w:hint="eastAsia" w:ascii="宋体" w:hAnsi="宋体" w:cs="宋体"/>
                <w:color w:val="000000"/>
                <w:sz w:val="22"/>
                <w:szCs w:val="22"/>
                <w:lang w:val="en-US"/>
              </w:rPr>
              <w:t>是</w:t>
            </w:r>
            <w:bookmarkEnd w:id="14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5" w:name="是否有旋涡区"/>
            <w:r>
              <w:rPr>
                <w:rFonts w:ascii="宋体" w:hAnsi="宋体" w:cs="宋体"/>
                <w:color w:val="000000"/>
                <w:sz w:val="22"/>
                <w:szCs w:val="22"/>
                <w:lang w:val="en-US"/>
              </w:rPr>
              <w:t>否</w:t>
            </w:r>
            <w:bookmarkEnd w:id="14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6" w:name="旋涡区达标判断"/>
            <w:r>
              <w:rPr>
                <w:rFonts w:ascii="宋体" w:hAnsi="宋体" w:cs="宋体"/>
                <w:color w:val="000000"/>
                <w:sz w:val="22"/>
                <w:szCs w:val="22"/>
                <w:lang w:val="en-US"/>
              </w:rPr>
              <w:t>是</w:t>
            </w:r>
            <w:bookmarkEnd w:id="146"/>
          </w:p>
        </w:tc>
      </w:tr>
    </w:tbl>
    <w:p>
      <w:pPr>
        <w:pStyle w:val="5"/>
      </w:pPr>
      <w:bookmarkStart w:id="147" w:name="_Toc504501018"/>
      <w:bookmarkStart w:id="148" w:name="_Toc123649950"/>
      <w:bookmarkStart w:id="149" w:name="_Toc509844763"/>
      <w:r>
        <w:rPr>
          <w:rFonts w:hint="eastAsia"/>
        </w:rPr>
        <w:t>外窗内外表面风压</w:t>
      </w:r>
      <w:bookmarkEnd w:id="147"/>
      <w:r>
        <w:rPr>
          <w:rFonts w:hint="eastAsia"/>
        </w:rPr>
        <w:t>差达标分析</w:t>
      </w:r>
      <w:bookmarkEnd w:id="148"/>
      <w:bookmarkEnd w:id="149"/>
    </w:p>
    <w:p>
      <w:pPr>
        <w:pStyle w:val="3"/>
        <w:ind w:firstLine="420"/>
      </w:pPr>
      <w:r>
        <w:rPr>
          <w:rFonts w:hint="eastAsia"/>
          <w:lang w:val="en-US"/>
        </w:rPr>
        <w:t>分析《绿色建筑评价标准》，</w:t>
      </w:r>
      <w:bookmarkStart w:id="150" w:name="季节9"/>
      <w:r>
        <w:rPr>
          <w:rFonts w:hint="eastAsia"/>
          <w:lang w:val="en-US"/>
        </w:rPr>
        <w:t>过渡季</w:t>
      </w:r>
      <w:bookmarkEnd w:id="150"/>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1" w:name="迎风面风压云图"/>
      <w:bookmarkEnd w:id="151"/>
      <w:r>
        <w:rPr>
          <w:lang w:val="en-US"/>
        </w:rP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2" w:name="季节10"/>
      <w:r>
        <w:rPr>
          <w:rFonts w:hint="eastAsia" w:ascii="黑体" w:hAnsi="黑体" w:eastAsia="黑体"/>
          <w:sz w:val="20"/>
          <w:szCs w:val="20"/>
        </w:rPr>
        <w:t>过渡季</w:t>
      </w:r>
      <w:bookmarkEnd w:id="152"/>
    </w:p>
    <w:p>
      <w:pPr>
        <w:pStyle w:val="13"/>
        <w:jc w:val="center"/>
      </w:pPr>
      <w:bookmarkStart w:id="153" w:name="背风面风压云图"/>
      <w:bookmarkEnd w:id="153"/>
      <w:r>
        <w:rPr>
          <w:lang w:val="en-US"/>
        </w:rPr>
        <w:drawing>
          <wp:inline distT="0" distB="0" distL="0" distR="0">
            <wp:extent cx="5667375" cy="3429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4" w:name="季节11"/>
      <w:r>
        <w:rPr>
          <w:rFonts w:hint="eastAsia" w:ascii="黑体" w:hAnsi="黑体" w:eastAsia="黑体"/>
          <w:sz w:val="20"/>
          <w:szCs w:val="20"/>
        </w:rPr>
        <w:t>过渡季</w:t>
      </w:r>
      <w:bookmarkEnd w:id="154"/>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w:t>
            </w:r>
          </w:p>
        </w:tc>
        <w:tc>
          <w:tcPr>
            <w:tcW w:w="1134" w:type="dxa"/>
            <w:shd w:val="clear" w:color="auto" w:fill="auto"/>
            <w:vAlign w:val="center"/>
          </w:tcPr>
          <w:p>
            <w:pPr>
              <w:jc w:val="center"/>
              <w:rPr>
                <w:lang w:val="en-US"/>
              </w:rPr>
            </w:pPr>
            <w:r>
              <w:rPr>
                <w:lang w:val="en-US"/>
              </w:rPr>
              <w:t>122</w:t>
            </w:r>
          </w:p>
        </w:tc>
        <w:tc>
          <w:tcPr>
            <w:tcW w:w="1984" w:type="dxa"/>
            <w:shd w:val="clear" w:color="auto" w:fill="auto"/>
            <w:vAlign w:val="center"/>
          </w:tcPr>
          <w:p>
            <w:pPr>
              <w:jc w:val="center"/>
              <w:rPr>
                <w:lang w:val="en-US"/>
              </w:rPr>
            </w:pPr>
            <w:r>
              <w:rPr>
                <w:lang w:val="en-US"/>
              </w:rPr>
              <w:t>102</w:t>
            </w:r>
          </w:p>
        </w:tc>
        <w:tc>
          <w:tcPr>
            <w:tcW w:w="1116" w:type="dxa"/>
            <w:shd w:val="clear" w:color="auto" w:fill="auto"/>
            <w:vAlign w:val="center"/>
          </w:tcPr>
          <w:p>
            <w:pPr>
              <w:jc w:val="center"/>
              <w:rPr>
                <w:lang w:val="en-US"/>
              </w:rPr>
            </w:pPr>
            <w:r>
              <w:rPr>
                <w:lang w:val="en-US"/>
              </w:rPr>
              <w:t>83.61</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55" w:name="建筑外窗室内外风压差达标判定"/>
      <w:bookmarkEnd w:id="155"/>
    </w:p>
    <w:p/>
    <w:p>
      <w:pPr>
        <w:rPr>
          <w:lang w:val="en-US"/>
        </w:rPr>
      </w:pPr>
      <w:bookmarkStart w:id="156" w:name="建筑室内外风压差达标判定结论"/>
      <w:r>
        <w:rPr>
          <w:rFonts w:hint="eastAsia"/>
          <w:lang w:val="en-US"/>
        </w:rPr>
        <w:t>结论：本项目中所有建筑均满足“50%以上可开启外窗室内外表面的风压差大于0.5Pa”的要求。</w:t>
      </w:r>
      <w:bookmarkEnd w:id="156"/>
      <w:r>
        <w:rPr>
          <w:rFonts w:hint="eastAsia"/>
          <w:lang w:val="en-US"/>
        </w:rPr>
        <w:t xml:space="preserve"> </w:t>
      </w:r>
    </w:p>
    <w:p>
      <w:pPr>
        <w:rPr>
          <w:lang w:val="en-US"/>
        </w:rPr>
      </w:pPr>
      <w:bookmarkStart w:id="157" w:name="其他工况"/>
      <w:bookmarkEnd w:id="157"/>
      <w:r>
        <w:rPr>
          <w:rFonts w:hint="eastAsia"/>
          <w:lang w:val="en-US"/>
        </w:rPr>
        <w:t xml:space="preserve"> </w:t>
      </w:r>
    </w:p>
    <w:p>
      <w:pPr>
        <w:pStyle w:val="4"/>
      </w:pPr>
      <w:bookmarkStart w:id="158" w:name="_Toc509844764"/>
      <w:bookmarkStart w:id="159" w:name="_Toc123649951"/>
      <w:r>
        <w:rPr>
          <w:rFonts w:hint="eastAsia"/>
        </w:rPr>
        <w:t>结论</w:t>
      </w:r>
      <w:bookmarkEnd w:id="158"/>
      <w:bookmarkEnd w:id="159"/>
    </w:p>
    <w:p>
      <w:pPr>
        <w:pStyle w:val="5"/>
      </w:pPr>
      <w:bookmarkStart w:id="160" w:name="_Toc123649952"/>
      <w:bookmarkStart w:id="161" w:name="_Toc509844765"/>
      <w:r>
        <w:rPr>
          <w:rFonts w:hint="eastAsia"/>
        </w:rPr>
        <w:t>冬季工况达标判断</w:t>
      </w:r>
      <w:bookmarkEnd w:id="160"/>
      <w:bookmarkEnd w:id="161"/>
      <w:bookmarkStart w:id="162" w:name="_Toc509844766"/>
      <w:bookmarkEnd w:id="16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3" w:name="标准要求冬季风速得分"/>
            <w:r>
              <w:rPr>
                <w:rFonts w:hint="eastAsia"/>
                <w:lang w:val="en-US"/>
              </w:rPr>
              <w:t>3</w:t>
            </w:r>
            <w:bookmarkEnd w:id="163"/>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64" w:name="冬季风速结果计算域"/>
            <w:r>
              <w:t>没有出现</w:t>
            </w:r>
            <w:bookmarkEnd w:id="164"/>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65" w:name="冬季风速达标判定"/>
            <w:r>
              <w:rPr>
                <w:rFonts w:hint="eastAsia"/>
                <w:b/>
                <w:lang w:val="en-US"/>
              </w:rPr>
              <w:t>达标</w:t>
            </w:r>
            <w:bookmarkEnd w:id="165"/>
          </w:p>
        </w:tc>
        <w:tc>
          <w:tcPr>
            <w:tcW w:w="1416" w:type="dxa"/>
            <w:vMerge w:val="restart"/>
            <w:tcBorders>
              <w:top w:val="single" w:color="auto" w:sz="4" w:space="0"/>
            </w:tcBorders>
            <w:shd w:val="clear" w:color="auto" w:fill="auto"/>
            <w:vAlign w:val="center"/>
          </w:tcPr>
          <w:p>
            <w:pPr>
              <w:jc w:val="center"/>
              <w:rPr>
                <w:lang w:val="en-US"/>
              </w:rPr>
            </w:pPr>
            <w:bookmarkStart w:id="166" w:name="冬季风速得分"/>
            <w:r>
              <w:rPr>
                <w:rFonts w:hint="eastAsia"/>
                <w:lang w:val="en-US"/>
              </w:rPr>
              <w:t>3</w:t>
            </w:r>
            <w:bookmarkEnd w:id="166"/>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67" w:name="冬季风速放大系数结果计算域"/>
            <w:r>
              <w:t>没有出现</w:t>
            </w:r>
            <w:bookmarkEnd w:id="167"/>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8" w:name="标准要求冬季风压得分"/>
            <w:r>
              <w:rPr>
                <w:rFonts w:hint="eastAsia"/>
                <w:lang w:val="en-US"/>
              </w:rPr>
              <w:t>2</w:t>
            </w:r>
            <w:bookmarkEnd w:id="168"/>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9" w:name="冬季迎背风面结果"/>
            <w:r>
              <w:t>没有出现</w:t>
            </w:r>
            <w:bookmarkEnd w:id="169"/>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0" w:name="冬季迎背风面达标判定"/>
            <w:r>
              <w:rPr>
                <w:rFonts w:hint="eastAsia"/>
                <w:b/>
                <w:lang w:val="en-US"/>
              </w:rPr>
              <w:t>达标</w:t>
            </w:r>
            <w:bookmarkEnd w:id="170"/>
          </w:p>
        </w:tc>
        <w:tc>
          <w:tcPr>
            <w:tcW w:w="1416" w:type="dxa"/>
            <w:shd w:val="clear" w:color="auto" w:fill="auto"/>
            <w:vAlign w:val="center"/>
          </w:tcPr>
          <w:p>
            <w:pPr>
              <w:jc w:val="center"/>
              <w:rPr>
                <w:lang w:val="en-US"/>
              </w:rPr>
            </w:pPr>
            <w:bookmarkStart w:id="171" w:name="冬季迎背风面得分"/>
            <w:r>
              <w:rPr>
                <w:rFonts w:hint="eastAsia"/>
                <w:lang w:val="en-US"/>
              </w:rPr>
              <w:t>2</w:t>
            </w:r>
            <w:bookmarkEnd w:id="171"/>
            <w:r>
              <w:rPr>
                <w:rFonts w:hint="eastAsia"/>
                <w:lang w:val="en-US"/>
              </w:rPr>
              <w:t>分</w:t>
            </w:r>
          </w:p>
        </w:tc>
      </w:tr>
    </w:tbl>
    <w:p>
      <w:pPr>
        <w:rPr>
          <w:szCs w:val="21"/>
          <w:lang w:val="en-US"/>
        </w:rPr>
      </w:pPr>
    </w:p>
    <w:p>
      <w:pPr>
        <w:pStyle w:val="5"/>
      </w:pPr>
      <w:bookmarkStart w:id="172" w:name="_Toc509844767"/>
      <w:bookmarkEnd w:id="172"/>
      <w:bookmarkStart w:id="173" w:name="_Toc509844768"/>
      <w:bookmarkEnd w:id="173"/>
      <w:bookmarkStart w:id="174" w:name="_Toc509844769"/>
      <w:bookmarkStart w:id="175" w:name="_Toc123649953"/>
      <w:r>
        <w:rPr>
          <w:rFonts w:hint="eastAsia"/>
        </w:rPr>
        <w:t>过渡季、夏季工况达标判断</w:t>
      </w:r>
      <w:bookmarkEnd w:id="174"/>
      <w:bookmarkEnd w:id="17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6" w:name="标准要求夏季风速得分"/>
            <w:r>
              <w:rPr>
                <w:rFonts w:hint="eastAsia"/>
                <w:lang w:val="en-US"/>
              </w:rPr>
              <w:t>3</w:t>
            </w:r>
            <w:bookmarkEnd w:id="176"/>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77" w:name="夏季无风区结果计算域"/>
            <w:r>
              <w:rPr>
                <w:rFonts w:hint="eastAsia"/>
                <w:lang w:val="en-US"/>
              </w:rPr>
              <w:t>无</w:t>
            </w:r>
            <w:bookmarkEnd w:id="177"/>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78" w:name="夏季无风区达标判定"/>
            <w:r>
              <w:rPr>
                <w:rFonts w:hint="eastAsia"/>
                <w:b/>
                <w:lang w:val="en-US"/>
              </w:rPr>
              <w:t>达标</w:t>
            </w:r>
            <w:bookmarkEnd w:id="178"/>
          </w:p>
        </w:tc>
        <w:tc>
          <w:tcPr>
            <w:tcW w:w="1416" w:type="dxa"/>
            <w:vMerge w:val="restart"/>
            <w:tcBorders>
              <w:top w:val="single" w:color="auto" w:sz="4" w:space="0"/>
            </w:tcBorders>
            <w:shd w:val="clear" w:color="auto" w:fill="auto"/>
            <w:vAlign w:val="center"/>
          </w:tcPr>
          <w:p>
            <w:pPr>
              <w:jc w:val="center"/>
              <w:rPr>
                <w:lang w:val="en-US"/>
              </w:rPr>
            </w:pPr>
            <w:bookmarkStart w:id="179" w:name="夏季无风区得分"/>
            <w:r>
              <w:rPr>
                <w:rFonts w:hint="eastAsia"/>
                <w:lang w:val="en-US"/>
              </w:rPr>
              <w:t>3</w:t>
            </w:r>
            <w:bookmarkEnd w:id="179"/>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0" w:name="标准要求夏季风压得分"/>
            <w:r>
              <w:rPr>
                <w:rFonts w:hint="eastAsia"/>
                <w:lang w:val="en-US"/>
              </w:rPr>
              <w:t>2</w:t>
            </w:r>
            <w:bookmarkEnd w:id="180"/>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81" w:name="夏季窗内外风压差结果"/>
            <w:r>
              <w:rPr>
                <w:rFonts w:hint="eastAsia"/>
                <w:lang w:val="en-US"/>
              </w:rPr>
              <w:t>满足</w:t>
            </w:r>
            <w:bookmarkEnd w:id="181"/>
            <w:r>
              <w:rPr>
                <w:rFonts w:hint="eastAsia"/>
                <w:lang w:val="en-US"/>
              </w:rPr>
              <w:t>标准要求</w:t>
            </w:r>
          </w:p>
        </w:tc>
        <w:tc>
          <w:tcPr>
            <w:tcW w:w="1985" w:type="dxa"/>
            <w:shd w:val="clear" w:color="auto" w:fill="auto"/>
            <w:vAlign w:val="center"/>
          </w:tcPr>
          <w:p>
            <w:pPr>
              <w:jc w:val="center"/>
              <w:rPr>
                <w:b/>
                <w:lang w:val="en-US"/>
              </w:rPr>
            </w:pPr>
            <w:bookmarkStart w:id="182" w:name="夏季窗内外风压差达标判定"/>
            <w:r>
              <w:rPr>
                <w:rFonts w:hint="eastAsia"/>
                <w:b/>
                <w:lang w:val="en-US"/>
              </w:rPr>
              <w:t>达标</w:t>
            </w:r>
            <w:bookmarkEnd w:id="182"/>
          </w:p>
        </w:tc>
        <w:tc>
          <w:tcPr>
            <w:tcW w:w="1416" w:type="dxa"/>
            <w:shd w:val="clear" w:color="auto" w:fill="auto"/>
            <w:vAlign w:val="center"/>
          </w:tcPr>
          <w:p>
            <w:pPr>
              <w:jc w:val="center"/>
              <w:rPr>
                <w:lang w:val="en-US"/>
              </w:rPr>
            </w:pPr>
            <w:bookmarkStart w:id="183" w:name="夏季窗内外风压差得分"/>
            <w:r>
              <w:rPr>
                <w:rFonts w:hint="eastAsia"/>
                <w:lang w:val="en-US"/>
              </w:rPr>
              <w:t>2</w:t>
            </w:r>
            <w:bookmarkEnd w:id="183"/>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4" w:name="总得分"/>
      <w:r>
        <w:rPr>
          <w:rFonts w:hint="eastAsia"/>
          <w:lang w:val="en-US"/>
        </w:rPr>
        <w:t>10</w:t>
      </w:r>
      <w:bookmarkEnd w:id="184"/>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iN2UxMzNjN2VmMjBmN2MxNjQyNjI5NzUyNTEwYzcifQ=="/>
  </w:docVars>
  <w:rsids>
    <w:rsidRoot w:val="00C33C09"/>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7C7"/>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2073"/>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3C09"/>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 w:val="20832908"/>
    <w:rsid w:val="3CB5224B"/>
    <w:rsid w:val="4AB82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numbering" Target="numbering.xml"/><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90301-F535-4304-91C0-D164314C74CB}">
  <ds:schemaRefs/>
</ds:datastoreItem>
</file>

<file path=docProps/app.xml><?xml version="1.0" encoding="utf-8"?>
<Properties xmlns="http://schemas.openxmlformats.org/officeDocument/2006/extended-properties" xmlns:vt="http://schemas.openxmlformats.org/officeDocument/2006/docPropsVTypes">
  <Template>tmp10</Template>
  <Company>ths</Company>
  <Pages>27</Pages>
  <Words>7262</Words>
  <Characters>8126</Characters>
  <Lines>98</Lines>
  <Paragraphs>27</Paragraphs>
  <TotalTime>0</TotalTime>
  <ScaleCrop>false</ScaleCrop>
  <LinksUpToDate>false</LinksUpToDate>
  <CharactersWithSpaces>8697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2023-01-03T06:51:00Z</dcterms:created>
  <dc:creator>Windows10</dc:creator>
  <cp:lastModifiedBy>SH </cp:lastModifiedBy>
  <cp:lastPrinted>1900-12-31T16:00:00Z</cp:lastPrinted>
  <dcterms:modified xsi:type="dcterms:W3CDTF">2023-01-03T15:12:46Z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EC5F0446163C4FFFA6309EE983603B97</vt:lpwstr>
  </property>
</Properties>
</file>