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一、实验目的</w:t>
            </w:r>
          </w:p>
          <w:p>
            <w:pPr>
              <w:snapToGrid w:val="0"/>
              <w:ind w:firstLine="560" w:firstLineChars="200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1、掌握楼板撞击声隔声的测试方法</w:t>
            </w:r>
          </w:p>
          <w:p>
            <w:pPr>
              <w:snapToGrid w:val="0"/>
              <w:ind w:firstLine="560" w:firstLineChars="200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2、对比不同楼板隔声的效果。</w:t>
            </w: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二、主要实验仪器及设备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撞击隔声测量时，传入受声室的噪声能量必须以撞击楼板的辐射声能为主，我国的国家标准GBJ75-84《建筑隔声测量规范》规定要采用撞击器提供的标准撞击声源，测试用设备装置应包括撞击器和测声装置。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撞击器是一个激发固体声的声源，利用撞击器撞击楼板源激发楼板振动，向受声室辐射噪声。对标准撞击器的要求是：撞击箱内装有五个金属锤，锤距为100mm,每个锤子的有效重量为0.5kg，呈直线布置，当电动机带动杆使锤从40mm高处以无自由落体方式下落时，顺次打击楼板，每锤与地面接触时间为0.05s，击后即提起，造成每秒钟10次的撞击声。撞击器在楼板上至少放置在四个无规分布的地点，锤子的连线应与梁或肋的走向成45度角，撞击器与楼板边界的距离至少为0.5m。若撞击器放在一个具有弹性的面层上，则需要在撞击器的支脚下放一层硬垫以保证锤子下落距离不变。</w:t>
            </w: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  <w:p>
            <w:pPr>
              <w:jc w:val="left"/>
              <w:rPr>
                <w:rFonts w:ascii="黑体" w:hAnsi="黑体" w:eastAsia="黑体"/>
                <w:sz w:val="4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三、实验原理说明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撞击声是物体在建筑结构上撞击，使之产生振动，沿着结构辐射到空中形成的噪声。</w:t>
            </w:r>
          </w:p>
          <w:p>
            <w:pPr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由于撞击产生的能量很大，而振动在结构中衰减量很小，所以撞击产生的振动能沿着连续的结构很远。在建筑中，由于楼板的整体性能比较好，因此各种结构水平方向的声衰减差异不大。由于结构的不同，垂直方向的衰减量差异很大，高频衰减量大，而低频衰减量小。轻薄墙衰减量大而厚重墙衰减量小。内墙衰减量大而外墙衰减量小。这些撞击声的衰减量的大小需要进行测量。</w:t>
            </w: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四、实验内容及操作步骤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1.撞击隔声的现场测量要选择上下相连的两个房间，上边一间为声源室，在房间的楼板上放置撞击器，下边一间为受声室。在现场测量中，试件面积和房间体积及形状可不加限制。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2.撞击器要离开墙边0.5米以上。</w:t>
            </w:r>
          </w:p>
          <w:p>
            <w:pPr>
              <w:spacing w:line="0" w:lineRule="atLeast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3.在受声室至少选择6个测点，距地面1.5米高，每个测点要测量每个倍频的声压级，每隔5秒钟，读一次数，共读5个数，取平均值。</w:t>
            </w: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五、实验数据记录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记录每个测点的，倍频处的声压级</w:t>
            </w:r>
          </w:p>
          <w:tbl>
            <w:tblPr>
              <w:tblStyle w:val="6"/>
              <w:tblpPr w:leftFromText="180" w:rightFromText="180" w:vertAnchor="text" w:horzAnchor="page" w:tblpX="102" w:tblpY="436"/>
              <w:tblOverlap w:val="never"/>
              <w:tblW w:w="100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813"/>
              <w:gridCol w:w="774"/>
              <w:gridCol w:w="706"/>
              <w:gridCol w:w="710"/>
              <w:gridCol w:w="704"/>
              <w:gridCol w:w="696"/>
              <w:gridCol w:w="773"/>
              <w:gridCol w:w="747"/>
              <w:gridCol w:w="706"/>
              <w:gridCol w:w="734"/>
              <w:gridCol w:w="773"/>
              <w:gridCol w:w="7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1187" w:type="dxa"/>
                  <w:tcBorders>
                    <w:tl2br w:val="single" w:color="auto" w:sz="4" w:space="0"/>
                  </w:tcBorders>
                </w:tcPr>
                <w:p>
                  <w:pPr>
                    <w:ind w:firstLine="480" w:firstLineChars="200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倍频</w:t>
                  </w:r>
                </w:p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测点</w:t>
                  </w:r>
                </w:p>
              </w:tc>
              <w:tc>
                <w:tcPr>
                  <w:tcW w:w="158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125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  <w:tc>
                <w:tcPr>
                  <w:tcW w:w="141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250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  <w:tc>
                <w:tcPr>
                  <w:tcW w:w="140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500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  <w:tc>
                <w:tcPr>
                  <w:tcW w:w="152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1000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2000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  <w:tc>
                <w:tcPr>
                  <w:tcW w:w="148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4000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59.5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60.7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72.6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69.8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66.7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68.8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66.9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both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61.3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63.6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54.4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56.0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62.2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68.5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73.8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75.3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66.6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55.7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60.3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68.2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65.8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66.4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62.9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57.8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78.9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72.0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68.6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68.3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67.8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64.8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64.5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59.0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59.8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53.0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72.6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69.5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65.6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63.4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60.6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53.5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64.4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66.8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63.1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65.4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59.7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54.5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61.5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60.2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69.3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67.6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70.4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68.4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63.9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59.0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58.4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53.5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66.4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68.1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64.4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58.4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54.0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60.5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67.0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66.7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57.9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58.6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59.1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64.6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65.6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64.3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64.3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64.5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58.9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58.3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52.9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61.6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66.7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63.8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66.1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57.7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53.5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57.1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64.7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66.0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58.4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52.8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61.1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64.7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67.0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67.6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65.0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63.6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64.1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64.1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56.5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57.0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68.0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62.4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63.2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57.3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52.9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1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63.2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67.9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63.4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65.1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57.1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53.0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" w:hRule="atLeast"/>
              </w:trPr>
              <w:tc>
                <w:tcPr>
                  <w:tcW w:w="11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55.9</w:t>
                  </w:r>
                </w:p>
              </w:tc>
              <w:tc>
                <w:tcPr>
                  <w:tcW w:w="77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59.3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65.3</w:t>
                  </w:r>
                </w:p>
              </w:tc>
              <w:tc>
                <w:tcPr>
                  <w:tcW w:w="71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65.6</w:t>
                  </w: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62.9</w:t>
                  </w:r>
                </w:p>
              </w:tc>
              <w:tc>
                <w:tcPr>
                  <w:tcW w:w="696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63.2</w:t>
                  </w:r>
                </w:p>
              </w:tc>
              <w:tc>
                <w:tcPr>
                  <w:tcW w:w="74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63.0</w:t>
                  </w: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59.4</w:t>
                  </w:r>
                </w:p>
              </w:tc>
              <w:tc>
                <w:tcPr>
                  <w:tcW w:w="734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59.1</w:t>
                  </w: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54.1</w:t>
                  </w:r>
                </w:p>
              </w:tc>
              <w:tc>
                <w:tcPr>
                  <w:tcW w:w="707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</w:trPr>
              <w:tc>
                <w:tcPr>
                  <w:tcW w:w="118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60.5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65.0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64.0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63.5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58.6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53.5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118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61.6</w:t>
                  </w:r>
                </w:p>
              </w:tc>
              <w:tc>
                <w:tcPr>
                  <w:tcW w:w="77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66.4</w:t>
                  </w:r>
                </w:p>
              </w:tc>
              <w:tc>
                <w:tcPr>
                  <w:tcW w:w="71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64.2</w:t>
                  </w:r>
                </w:p>
              </w:tc>
              <w:tc>
                <w:tcPr>
                  <w:tcW w:w="69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63.0</w:t>
                  </w:r>
                </w:p>
              </w:tc>
              <w:tc>
                <w:tcPr>
                  <w:tcW w:w="747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59.5</w:t>
                  </w:r>
                </w:p>
              </w:tc>
              <w:tc>
                <w:tcPr>
                  <w:tcW w:w="73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top"/>
                </w:tcPr>
                <w:p>
                  <w:pPr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  <w:lang w:val="en-US" w:eastAsia="zh-CN"/>
                    </w:rPr>
                    <w:t>53.7</w:t>
                  </w:r>
                </w:p>
              </w:tc>
              <w:tc>
                <w:tcPr>
                  <w:tcW w:w="707" w:type="dxa"/>
                  <w:vMerge w:val="continue"/>
                </w:tcPr>
                <w:p>
                  <w:pP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六、数据分析与处理（包括计算过程、曲线绘制等）</w:t>
            </w:r>
          </w:p>
          <w:p>
            <w:pPr>
              <w:jc w:val="left"/>
              <w:rPr>
                <w:rFonts w:hint="eastAsia" w:ascii="黑体" w:hAnsi="黑体" w:eastAsia="黑体"/>
                <w:b/>
                <w:sz w:val="32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75565</wp:posOffset>
                  </wp:positionV>
                  <wp:extent cx="5654675" cy="3189605"/>
                  <wp:effectExtent l="0" t="0" r="14605" b="10795"/>
                  <wp:wrapSquare wrapText="bothSides"/>
                  <wp:docPr id="3" name="图片 3" descr="QQ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675" cy="318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720" w:firstLineChars="3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计算出每个倍频处的撞击声压级，并将数据填入表格。</w:t>
            </w:r>
          </w:p>
          <w:tbl>
            <w:tblPr>
              <w:tblStyle w:val="6"/>
              <w:tblpPr w:leftFromText="180" w:rightFromText="180" w:vertAnchor="text" w:horzAnchor="page" w:tblpX="835" w:tblpY="260"/>
              <w:tblOverlap w:val="never"/>
              <w:tblW w:w="82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3"/>
              <w:gridCol w:w="1173"/>
              <w:gridCol w:w="1147"/>
              <w:gridCol w:w="1027"/>
              <w:gridCol w:w="1133"/>
              <w:gridCol w:w="1307"/>
              <w:gridCol w:w="13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1133" w:type="dxa"/>
                  <w:vAlign w:val="center"/>
                </w:tcPr>
                <w:p>
                  <w:pPr>
                    <w:ind w:firstLine="240" w:firstLineChars="100"/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倍频</w:t>
                  </w:r>
                </w:p>
              </w:tc>
              <w:tc>
                <w:tcPr>
                  <w:tcW w:w="117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125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250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500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1000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  <w:tc>
                <w:tcPr>
                  <w:tcW w:w="130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2000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  <w:tc>
                <w:tcPr>
                  <w:tcW w:w="136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sz w:val="24"/>
                    </w:rPr>
                    <w:t>4000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</w:trPr>
              <w:tc>
                <w:tcPr>
                  <w:tcW w:w="113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平均撞击声压级</w:t>
                  </w:r>
                </w:p>
              </w:tc>
              <w:tc>
                <w:tcPr>
                  <w:tcW w:w="1173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65.8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67.7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66.3</w:t>
                  </w: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65.7</w:t>
                  </w:r>
                </w:p>
              </w:tc>
              <w:tc>
                <w:tcPr>
                  <w:tcW w:w="1307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59.9</w:t>
                  </w:r>
                </w:p>
              </w:tc>
              <w:tc>
                <w:tcPr>
                  <w:tcW w:w="1360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lang w:val="en-US" w:eastAsia="zh-CN"/>
                    </w:rPr>
                    <w:t>54</w:t>
                  </w:r>
                </w:p>
              </w:tc>
            </w:tr>
          </w:tbl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b/>
                <w:sz w:val="28"/>
                <w:szCs w:val="30"/>
              </w:rPr>
              <w:t>七、实验结论及思考</w:t>
            </w:r>
          </w:p>
          <w:p>
            <w:pPr>
              <w:jc w:val="left"/>
              <w:rPr>
                <w:rFonts w:hint="eastAsia" w:ascii="黑体" w:hAnsi="黑体" w:eastAsia="黑体"/>
                <w:b/>
                <w:sz w:val="32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4445</wp:posOffset>
                  </wp:positionV>
                  <wp:extent cx="3931920" cy="1897380"/>
                  <wp:effectExtent l="0" t="0" r="0" b="7620"/>
                  <wp:wrapSquare wrapText="bothSides"/>
                  <wp:docPr id="2" name="图片 2" descr="e3009c797f80228077073d4ffe6b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3009c797f80228077073d4ffe6ba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黑体" w:hAnsi="黑体" w:eastAsia="黑体"/>
                <w:b/>
                <w:sz w:val="32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实验室的平均声压级符合教学楼的撞击声隔声标准。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提高楼板的撞击声隔声性能，通常有三种办法：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①铺设弹性面层材料②浮筑楼板③隔声吊顶</w:t>
            </w: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Cs w:val="21"/>
        </w:rPr>
      </w:pPr>
    </w:p>
    <w:p>
      <w:pPr>
        <w:jc w:val="left"/>
        <w:rPr>
          <w:rFonts w:ascii="黑体" w:hAnsi="黑体" w:eastAsia="黑体"/>
          <w:sz w:val="2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276" w:right="851" w:bottom="567" w:left="851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/>
        <w:sz w:val="24"/>
      </w:rPr>
    </w:pPr>
    <w:r>
      <w:rPr>
        <w:rFonts w:hint="eastAsia" w:ascii="黑体" w:hAnsi="黑体" w:eastAsia="黑体"/>
        <w:sz w:val="24"/>
      </w:rPr>
      <w:t>第   页，共  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jAwZTRlMGIyM2VjOWFiNDYzZDViM2NhYzE3MDkifQ=="/>
  </w:docVars>
  <w:rsids>
    <w:rsidRoot w:val="00531AE7"/>
    <w:rsid w:val="00001864"/>
    <w:rsid w:val="000D202A"/>
    <w:rsid w:val="001D651C"/>
    <w:rsid w:val="00203014"/>
    <w:rsid w:val="002A5458"/>
    <w:rsid w:val="002B26C1"/>
    <w:rsid w:val="002F5F52"/>
    <w:rsid w:val="0036266B"/>
    <w:rsid w:val="00367B2A"/>
    <w:rsid w:val="003767D3"/>
    <w:rsid w:val="003C25C8"/>
    <w:rsid w:val="003E4F2B"/>
    <w:rsid w:val="003F4A72"/>
    <w:rsid w:val="00483119"/>
    <w:rsid w:val="00493047"/>
    <w:rsid w:val="004971DD"/>
    <w:rsid w:val="004C3F07"/>
    <w:rsid w:val="00514219"/>
    <w:rsid w:val="00531AE7"/>
    <w:rsid w:val="005468B3"/>
    <w:rsid w:val="0057323D"/>
    <w:rsid w:val="005D0184"/>
    <w:rsid w:val="00640A26"/>
    <w:rsid w:val="006C4C9B"/>
    <w:rsid w:val="006F4180"/>
    <w:rsid w:val="00717643"/>
    <w:rsid w:val="00755866"/>
    <w:rsid w:val="00765DD8"/>
    <w:rsid w:val="0077040F"/>
    <w:rsid w:val="007A7D17"/>
    <w:rsid w:val="007E4EA6"/>
    <w:rsid w:val="008151EF"/>
    <w:rsid w:val="00830CEF"/>
    <w:rsid w:val="008C1E8B"/>
    <w:rsid w:val="008D18A3"/>
    <w:rsid w:val="008D1CA4"/>
    <w:rsid w:val="00934CCE"/>
    <w:rsid w:val="009613DE"/>
    <w:rsid w:val="0098290A"/>
    <w:rsid w:val="00A2555C"/>
    <w:rsid w:val="00A4465F"/>
    <w:rsid w:val="00A64E62"/>
    <w:rsid w:val="00A7406E"/>
    <w:rsid w:val="00BE2D66"/>
    <w:rsid w:val="00C3677C"/>
    <w:rsid w:val="00C52468"/>
    <w:rsid w:val="00C94F98"/>
    <w:rsid w:val="00D51609"/>
    <w:rsid w:val="00D9313D"/>
    <w:rsid w:val="00DE67AE"/>
    <w:rsid w:val="00DF0B90"/>
    <w:rsid w:val="00E160C4"/>
    <w:rsid w:val="00E44DCD"/>
    <w:rsid w:val="00ED2940"/>
    <w:rsid w:val="00F13904"/>
    <w:rsid w:val="00F32324"/>
    <w:rsid w:val="00F357C2"/>
    <w:rsid w:val="00F603B1"/>
    <w:rsid w:val="04B813C2"/>
    <w:rsid w:val="30D64D22"/>
    <w:rsid w:val="3B061691"/>
    <w:rsid w:val="3C3458CD"/>
    <w:rsid w:val="44CB5986"/>
    <w:rsid w:val="456A3BF2"/>
    <w:rsid w:val="4C19170C"/>
    <w:rsid w:val="501B558C"/>
    <w:rsid w:val="668E1823"/>
    <w:rsid w:val="6BD35F48"/>
    <w:rsid w:val="6DB62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271F-811E-4149-A25C-24332BC2D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1144</Words>
  <Characters>1686</Characters>
  <Lines>3</Lines>
  <Paragraphs>1</Paragraphs>
  <TotalTime>57</TotalTime>
  <ScaleCrop>false</ScaleCrop>
  <LinksUpToDate>false</LinksUpToDate>
  <CharactersWithSpaces>1697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2017-11-21T01:54:00Z</dcterms:created>
  <dc:creator>Administrator</dc:creator>
  <cp:lastModifiedBy>＆＆＆</cp:lastModifiedBy>
  <cp:lastPrinted>2017-11-21T07:05:00Z</cp:lastPrinted>
  <dcterms:modified xsi:type="dcterms:W3CDTF">2023-03-06T07:07:11Z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C537EC4DA26F4FC59D1F53BF5D5EBEFA</vt:lpwstr>
  </property>
</Properties>
</file>